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B544B" w14:textId="77777777" w:rsidR="00221031" w:rsidRDefault="003D2A69" w:rsidP="003D2A69">
      <w:pPr>
        <w:jc w:val="center"/>
        <w:rPr>
          <w:b/>
          <w:bCs w:val="0"/>
        </w:rPr>
      </w:pPr>
      <w:bookmarkStart w:id="0" w:name="_GoBack"/>
      <w:bookmarkEnd w:id="0"/>
      <w:r>
        <w:rPr>
          <w:b/>
          <w:bCs w:val="0"/>
        </w:rPr>
        <w:t>The Indiana Academy</w:t>
      </w:r>
    </w:p>
    <w:p w14:paraId="78DD9FCD" w14:textId="753FC12D" w:rsidR="003D2A69" w:rsidRDefault="003D2A69" w:rsidP="003D2A69">
      <w:pPr>
        <w:jc w:val="center"/>
        <w:rPr>
          <w:b/>
          <w:bCs w:val="0"/>
        </w:rPr>
      </w:pPr>
      <w:r>
        <w:rPr>
          <w:b/>
          <w:bCs w:val="0"/>
        </w:rPr>
        <w:t xml:space="preserve">SOC </w:t>
      </w:r>
      <w:r w:rsidR="00180DDB">
        <w:rPr>
          <w:b/>
          <w:bCs w:val="0"/>
        </w:rPr>
        <w:t>302</w:t>
      </w:r>
      <w:r>
        <w:rPr>
          <w:b/>
          <w:bCs w:val="0"/>
        </w:rPr>
        <w:t xml:space="preserve"> </w:t>
      </w:r>
    </w:p>
    <w:p w14:paraId="69488484" w14:textId="179E3338" w:rsidR="003D2A69" w:rsidRDefault="00180DDB" w:rsidP="003D2A69">
      <w:pPr>
        <w:jc w:val="center"/>
        <w:rPr>
          <w:b/>
          <w:bCs w:val="0"/>
        </w:rPr>
      </w:pPr>
      <w:r>
        <w:rPr>
          <w:b/>
          <w:bCs w:val="0"/>
        </w:rPr>
        <w:t>Exploring American Government: Search for Democracy</w:t>
      </w:r>
      <w:r w:rsidR="003D2A69">
        <w:rPr>
          <w:b/>
          <w:bCs w:val="0"/>
        </w:rPr>
        <w:t xml:space="preserve"> (</w:t>
      </w:r>
      <w:r w:rsidR="00AE5E1F">
        <w:rPr>
          <w:b/>
          <w:bCs w:val="0"/>
        </w:rPr>
        <w:t>Fall</w:t>
      </w:r>
      <w:r w:rsidR="003D2A69">
        <w:rPr>
          <w:b/>
          <w:bCs w:val="0"/>
        </w:rPr>
        <w:t xml:space="preserve"> 202</w:t>
      </w:r>
      <w:r w:rsidR="00E2644A">
        <w:rPr>
          <w:b/>
          <w:bCs w:val="0"/>
        </w:rPr>
        <w:t>5</w:t>
      </w:r>
      <w:r w:rsidR="003D2A69">
        <w:rPr>
          <w:b/>
          <w:bCs w:val="0"/>
        </w:rPr>
        <w:t>)</w:t>
      </w:r>
    </w:p>
    <w:p w14:paraId="1E109E56" w14:textId="77777777" w:rsidR="003D2A69" w:rsidRDefault="003D2A69" w:rsidP="003D2A69">
      <w:pPr>
        <w:jc w:val="center"/>
        <w:rPr>
          <w:b/>
          <w:bCs w:val="0"/>
        </w:rPr>
      </w:pPr>
    </w:p>
    <w:p w14:paraId="7E970FAC" w14:textId="21E5C54F" w:rsidR="003D2A69" w:rsidRDefault="003D2A69" w:rsidP="003D2A69">
      <w:r>
        <w:t>Instructor: Dr. Mark Myers</w:t>
      </w:r>
      <w:r>
        <w:tab/>
      </w:r>
      <w:r>
        <w:tab/>
      </w:r>
      <w:r>
        <w:tab/>
      </w:r>
      <w:r>
        <w:tab/>
        <w:t>Office Location: B009D Elliot</w:t>
      </w:r>
    </w:p>
    <w:p w14:paraId="04412FCD" w14:textId="06CF266B" w:rsidR="003D2A69" w:rsidRDefault="003D2A69" w:rsidP="003D2A69">
      <w:r>
        <w:t>Phone: 765-285-7409</w:t>
      </w:r>
      <w:r>
        <w:tab/>
      </w:r>
      <w:r>
        <w:tab/>
      </w:r>
      <w:r>
        <w:tab/>
      </w:r>
      <w:r>
        <w:tab/>
      </w:r>
      <w:r>
        <w:tab/>
        <w:t xml:space="preserve">Email: msmyers@bsu.edu </w:t>
      </w:r>
    </w:p>
    <w:p w14:paraId="6781EB29" w14:textId="54018B9F" w:rsidR="003D2A69" w:rsidRDefault="00E2644A" w:rsidP="003D2A69">
      <w:r>
        <w:t>Class Times: TR 10:00, 11:30, 2:00</w:t>
      </w:r>
      <w:r>
        <w:tab/>
      </w:r>
      <w:r>
        <w:tab/>
      </w:r>
      <w:r>
        <w:tab/>
        <w:t>Office Hours: MF 9-11, 2-4; TR 9-10</w:t>
      </w:r>
    </w:p>
    <w:p w14:paraId="4CD95269" w14:textId="77777777" w:rsidR="00C475E8" w:rsidRDefault="00C475E8" w:rsidP="003D2A69"/>
    <w:p w14:paraId="7E277AF4" w14:textId="77777777" w:rsidR="003D2A69" w:rsidRDefault="003D2A69" w:rsidP="00185C41">
      <w:pPr>
        <w:rPr>
          <w:rFonts w:eastAsia="Times New Roman" w:cs="Times New Roman"/>
          <w:bCs w:val="0"/>
        </w:rPr>
      </w:pPr>
      <w:r>
        <w:rPr>
          <w:i/>
          <w:iCs/>
        </w:rPr>
        <w:t>Course Description:</w:t>
      </w:r>
      <w:r w:rsidRPr="003D2A69">
        <w:t xml:space="preserve"> </w:t>
      </w:r>
    </w:p>
    <w:p w14:paraId="19F1759A" w14:textId="41BCCD4B" w:rsidR="00AE5E1F" w:rsidRDefault="00180DDB" w:rsidP="00AE5E1F">
      <w:r>
        <w:rPr>
          <w:rFonts w:eastAsia="Times New Roman" w:cs="Times New Roman"/>
          <w:bCs w:val="0"/>
        </w:rPr>
        <w:t>An exploration of United States government, with particular reference to the history and experience of creating and sustaining a democratic system and way of life for all. What is a democracy, and what does it mean to live in a democratic country? Topics may include diversity, equality, equity, political power, and similar pressing questions of past and present. Critical thinking and productive civil discourse will be consistently emphasized. (Only one credit can be earned from the Exploring American Government course series.)</w:t>
      </w:r>
    </w:p>
    <w:p w14:paraId="43B69317" w14:textId="77777777" w:rsidR="003D2A69" w:rsidRDefault="003D2A69" w:rsidP="003D2A69"/>
    <w:p w14:paraId="4E35B990" w14:textId="77777777" w:rsidR="003D2A69" w:rsidRDefault="003D2A69" w:rsidP="003D2A69">
      <w:pPr>
        <w:rPr>
          <w:i/>
          <w:iCs/>
        </w:rPr>
      </w:pPr>
      <w:r>
        <w:rPr>
          <w:i/>
          <w:iCs/>
        </w:rPr>
        <w:t>Required Texts:</w:t>
      </w:r>
    </w:p>
    <w:p w14:paraId="6A89B0AD" w14:textId="105B5D00" w:rsidR="00AE5E1F" w:rsidRPr="00180DDB" w:rsidRDefault="00180DDB" w:rsidP="00AE5E1F">
      <w:r>
        <w:t>All readings will be posted to Canvas.</w:t>
      </w:r>
    </w:p>
    <w:p w14:paraId="77F1FA9F" w14:textId="77777777" w:rsidR="00185C41" w:rsidRDefault="00185C41" w:rsidP="003D2A69">
      <w:pPr>
        <w:rPr>
          <w:i/>
          <w:iCs/>
        </w:rPr>
      </w:pPr>
    </w:p>
    <w:p w14:paraId="19289D46" w14:textId="77777777" w:rsidR="003D2A69" w:rsidRDefault="002B30C8" w:rsidP="003D2A69">
      <w:pPr>
        <w:rPr>
          <w:i/>
          <w:iCs/>
        </w:rPr>
      </w:pPr>
      <w:r>
        <w:rPr>
          <w:i/>
          <w:iCs/>
        </w:rPr>
        <w:t>Goals for and Obligations of Students:</w:t>
      </w:r>
    </w:p>
    <w:p w14:paraId="591C138B" w14:textId="0F1DBA11" w:rsidR="00AE5E1F" w:rsidRDefault="00AE5E1F" w:rsidP="00AE5E1F">
      <w:pPr>
        <w:pStyle w:val="ListParagraph"/>
        <w:numPr>
          <w:ilvl w:val="0"/>
          <w:numId w:val="1"/>
        </w:numPr>
      </w:pPr>
      <w:r w:rsidRPr="002B30C8">
        <w:t xml:space="preserve">The first goal of the class is for students </w:t>
      </w:r>
      <w:r>
        <w:t xml:space="preserve">to gain an interpretive awareness of the major </w:t>
      </w:r>
      <w:r w:rsidR="00180DDB">
        <w:t>connections between democracy and inequality</w:t>
      </w:r>
      <w:r>
        <w:t>. All students are obligated to complete all assigned readings before class. This is imperative because this course relies heavily on class discussion. Class sessions will only succeed if you put in the time to read the assignments.</w:t>
      </w:r>
    </w:p>
    <w:p w14:paraId="63E883CB" w14:textId="71BFD60B" w:rsidR="002B30C8" w:rsidRDefault="002B30C8" w:rsidP="00180DDB">
      <w:pPr>
        <w:pStyle w:val="ListParagraph"/>
        <w:numPr>
          <w:ilvl w:val="0"/>
          <w:numId w:val="1"/>
        </w:numPr>
      </w:pPr>
      <w:r>
        <w:t>The second goal of the class is for students to become comfortable participating in class. Students are obligated to participate in all class sessions.</w:t>
      </w:r>
    </w:p>
    <w:p w14:paraId="6A14E7BF" w14:textId="32F54EB3" w:rsidR="00B82837" w:rsidRDefault="00B82837" w:rsidP="002B30C8">
      <w:pPr>
        <w:pStyle w:val="ListParagraph"/>
        <w:numPr>
          <w:ilvl w:val="0"/>
          <w:numId w:val="1"/>
        </w:numPr>
      </w:pPr>
      <w:r>
        <w:t xml:space="preserve">The </w:t>
      </w:r>
      <w:r w:rsidR="00180DDB">
        <w:t>third</w:t>
      </w:r>
      <w:r>
        <w:t>, and most important, goal of the class is to improve students’ critical thinking skills.</w:t>
      </w:r>
    </w:p>
    <w:p w14:paraId="3F0B84E5" w14:textId="77777777" w:rsidR="00B82837" w:rsidRDefault="00B82837" w:rsidP="00B82837"/>
    <w:p w14:paraId="37F61E5B" w14:textId="77777777" w:rsidR="00B82837" w:rsidRDefault="00B82837" w:rsidP="0090080D">
      <w:r>
        <w:rPr>
          <w:i/>
          <w:iCs/>
        </w:rPr>
        <w:t>Course Requirements</w:t>
      </w:r>
      <w:r w:rsidR="0090080D">
        <w:rPr>
          <w:i/>
          <w:iCs/>
        </w:rPr>
        <w:t>:</w:t>
      </w:r>
    </w:p>
    <w:p w14:paraId="7ED83540" w14:textId="52469D04" w:rsidR="003F766D" w:rsidRDefault="00180DDB" w:rsidP="003F766D">
      <w:pPr>
        <w:pStyle w:val="ListParagraph"/>
        <w:numPr>
          <w:ilvl w:val="0"/>
          <w:numId w:val="4"/>
        </w:numPr>
      </w:pPr>
      <w:r>
        <w:t xml:space="preserve">Essays: You are required to write </w:t>
      </w:r>
      <w:r w:rsidR="00E2644A">
        <w:t>four</w:t>
      </w:r>
      <w:r>
        <w:t xml:space="preserve"> essays based on class materials. More information will be forthcoming. Each essay is worth </w:t>
      </w:r>
      <w:r w:rsidR="00E2644A">
        <w:t>100 points.</w:t>
      </w:r>
    </w:p>
    <w:p w14:paraId="21690BCE" w14:textId="53D64150" w:rsidR="00F66651" w:rsidRDefault="00F66651" w:rsidP="00F66651">
      <w:pPr>
        <w:pStyle w:val="ListParagraph"/>
        <w:numPr>
          <w:ilvl w:val="0"/>
          <w:numId w:val="4"/>
        </w:numPr>
      </w:pPr>
      <w:r>
        <w:t xml:space="preserve">Daily Assignments/Participation: The first type of daily assignment will be journals based on the daily readings. The journals will be posted to Canvas. These journals are designed to give you an opportunity to prepare for the discussion and should be two full paragraphs long. The only requirement is that you provide enough detail from the reading to show that you read the assignment.  Half of your daily grade will be based on the reading journal. Most of our class sessions will consist of seminar discussions. These seminars may either be open conversations or led by a student discussion leader. I hope to convey to you the importance of collegial discussion. I consider a seminar to be a “team activity,” therefore there will be a class “baseline grade” for the seminar. However, if you do not participate, your score will be adjusted accordingly. I will be providing documents on Canvas to help you prepare for the seminars. Excused absences will not harm your seminar grade, but unexcused absences will earn no participation credit. Each daily grade </w:t>
      </w:r>
      <w:r>
        <w:lastRenderedPageBreak/>
        <w:t xml:space="preserve">is 10 points (5 for the journal &amp; 5 for participation activities). The </w:t>
      </w:r>
      <w:r w:rsidR="00767091">
        <w:t>4</w:t>
      </w:r>
      <w:r>
        <w:t xml:space="preserve"> lowest daily grades will be dropped.</w:t>
      </w:r>
    </w:p>
    <w:p w14:paraId="2E32E6C2" w14:textId="77777777" w:rsidR="00F66651" w:rsidRDefault="00F66651" w:rsidP="00F66651">
      <w:pPr>
        <w:pStyle w:val="ListParagraph"/>
      </w:pPr>
    </w:p>
    <w:p w14:paraId="6FD31756" w14:textId="77777777" w:rsidR="003F766D" w:rsidRDefault="003F766D" w:rsidP="003F766D">
      <w:r>
        <w:t xml:space="preserve">Percentage of total points earned: </w:t>
      </w:r>
    </w:p>
    <w:p w14:paraId="10333E26" w14:textId="77777777" w:rsidR="003F766D" w:rsidRDefault="003F766D" w:rsidP="003F766D">
      <w:r>
        <w:t xml:space="preserve">A: </w:t>
      </w:r>
      <w:r>
        <w:tab/>
        <w:t>90-100%</w:t>
      </w:r>
    </w:p>
    <w:p w14:paraId="18E3EDAE" w14:textId="77777777" w:rsidR="003F766D" w:rsidRDefault="003F766D" w:rsidP="003F766D">
      <w:r>
        <w:t xml:space="preserve">B: </w:t>
      </w:r>
      <w:r>
        <w:tab/>
        <w:t>80-89%</w:t>
      </w:r>
    </w:p>
    <w:p w14:paraId="7B21F6B0" w14:textId="77777777" w:rsidR="003F766D" w:rsidRDefault="003F766D" w:rsidP="003F766D">
      <w:r>
        <w:t>C:</w:t>
      </w:r>
      <w:r>
        <w:tab/>
        <w:t>70-79%</w:t>
      </w:r>
    </w:p>
    <w:p w14:paraId="6101ACE8" w14:textId="77777777" w:rsidR="003F766D" w:rsidRDefault="003F766D" w:rsidP="003F766D">
      <w:r>
        <w:t>D:</w:t>
      </w:r>
      <w:r>
        <w:tab/>
        <w:t>Below 70%</w:t>
      </w:r>
    </w:p>
    <w:p w14:paraId="18531A93" w14:textId="77777777" w:rsidR="003F766D" w:rsidRDefault="003F766D" w:rsidP="003F766D">
      <w:r>
        <w:t>(Note: plus/minus may be used at my discretion)</w:t>
      </w:r>
    </w:p>
    <w:p w14:paraId="11F7828B" w14:textId="77777777" w:rsidR="00767091" w:rsidRDefault="00767091" w:rsidP="003F766D"/>
    <w:p w14:paraId="46E1264C" w14:textId="43373636" w:rsidR="00767091" w:rsidRDefault="00767091" w:rsidP="003F766D">
      <w:pPr>
        <w:rPr>
          <w:i/>
          <w:iCs/>
        </w:rPr>
      </w:pPr>
      <w:r>
        <w:rPr>
          <w:i/>
          <w:iCs/>
        </w:rPr>
        <w:t>Format of the Course:</w:t>
      </w:r>
    </w:p>
    <w:p w14:paraId="622CFC5D" w14:textId="356143D2" w:rsidR="00767091" w:rsidRPr="00767091" w:rsidRDefault="00767091" w:rsidP="003F766D">
      <w:r>
        <w:t>Most days will include a seminar discussion of a major piece of the literature on the issues of inequality and democracy. Throughout the semester, we will also discuss major aspects of American government. Class days may have two distinct topics.</w:t>
      </w:r>
    </w:p>
    <w:p w14:paraId="20F3B4C4" w14:textId="77777777" w:rsidR="00EB052B" w:rsidRDefault="00EB052B" w:rsidP="000C1AF1"/>
    <w:p w14:paraId="513F8A0C" w14:textId="77777777" w:rsidR="009741FC" w:rsidRDefault="009741FC" w:rsidP="009741FC">
      <w:pPr>
        <w:rPr>
          <w:rFonts w:cs="Times New Roman"/>
          <w:i/>
        </w:rPr>
      </w:pPr>
      <w:r>
        <w:rPr>
          <w:rFonts w:cs="Times New Roman"/>
          <w:i/>
        </w:rPr>
        <w:t>Late Policy:</w:t>
      </w:r>
    </w:p>
    <w:p w14:paraId="0B0E02C7" w14:textId="1899F869" w:rsidR="00E2644A" w:rsidRDefault="009741FC" w:rsidP="00E2644A">
      <w:pPr>
        <w:rPr>
          <w:rFonts w:cs="Times New Roman"/>
        </w:rPr>
      </w:pPr>
      <w:r w:rsidRPr="003A731F">
        <w:rPr>
          <w:rFonts w:cs="Times New Roman"/>
          <w:iCs/>
        </w:rPr>
        <w:t xml:space="preserve">All </w:t>
      </w:r>
      <w:r>
        <w:rPr>
          <w:rFonts w:cs="Times New Roman"/>
          <w:iCs/>
        </w:rPr>
        <w:t xml:space="preserve">essays </w:t>
      </w:r>
      <w:r w:rsidRPr="003A731F">
        <w:rPr>
          <w:rFonts w:cs="Times New Roman"/>
          <w:iCs/>
        </w:rPr>
        <w:t xml:space="preserve">are due by 11:59 p.m. on the due date. Reading Journals are due by class time on the due date. Late </w:t>
      </w:r>
      <w:r>
        <w:rPr>
          <w:rFonts w:cs="Times New Roman"/>
          <w:iCs/>
        </w:rPr>
        <w:t>essays</w:t>
      </w:r>
      <w:r w:rsidRPr="003A731F">
        <w:rPr>
          <w:rFonts w:cs="Times New Roman"/>
          <w:iCs/>
        </w:rPr>
        <w:t xml:space="preserve"> will be accepted with a penalty of </w:t>
      </w:r>
      <w:r>
        <w:rPr>
          <w:rFonts w:cs="Times New Roman"/>
          <w:iCs/>
        </w:rPr>
        <w:t>10</w:t>
      </w:r>
      <w:r w:rsidRPr="003A731F">
        <w:rPr>
          <w:rFonts w:cs="Times New Roman"/>
          <w:iCs/>
        </w:rPr>
        <w:t>%</w:t>
      </w:r>
      <w:r w:rsidR="00E2644A">
        <w:rPr>
          <w:rFonts w:cs="Times New Roman"/>
          <w:iCs/>
        </w:rPr>
        <w:t xml:space="preserve"> per week late</w:t>
      </w:r>
      <w:r w:rsidRPr="003A731F">
        <w:rPr>
          <w:rFonts w:cs="Times New Roman"/>
          <w:iCs/>
        </w:rPr>
        <w:t>.</w:t>
      </w:r>
      <w:r>
        <w:rPr>
          <w:rFonts w:cs="Times New Roman"/>
          <w:iCs/>
        </w:rPr>
        <w:t xml:space="preserve">  Reading journals cannot be accepted late except in extraordinary circumstances (certain excused absences such as illness). If you know that you will be absent prior to the day of class, the reading journal must be submitted early. </w:t>
      </w:r>
      <w:r w:rsidRPr="00E2644A">
        <w:rPr>
          <w:rFonts w:cs="Times New Roman"/>
          <w:b/>
          <w:bCs w:val="0"/>
          <w:iCs/>
        </w:rPr>
        <w:t>No extension will be granted because a student is busy</w:t>
      </w:r>
      <w:r>
        <w:rPr>
          <w:rFonts w:cs="Times New Roman"/>
          <w:iCs/>
        </w:rPr>
        <w:t xml:space="preserve">. </w:t>
      </w:r>
      <w:r w:rsidR="00E2644A">
        <w:rPr>
          <w:rFonts w:cs="Times New Roman"/>
        </w:rPr>
        <w:t>The absolute deadline for any late essay will be Thursday, December 18 at noon.</w:t>
      </w:r>
    </w:p>
    <w:p w14:paraId="4493EC6D" w14:textId="338D3774" w:rsidR="009741FC" w:rsidRDefault="009741FC" w:rsidP="009741FC">
      <w:pPr>
        <w:rPr>
          <w:rFonts w:cs="Times New Roman"/>
          <w:i/>
        </w:rPr>
      </w:pPr>
    </w:p>
    <w:p w14:paraId="79E1E3F1" w14:textId="77777777" w:rsidR="009741FC" w:rsidRDefault="009741FC" w:rsidP="009741FC">
      <w:pPr>
        <w:rPr>
          <w:rFonts w:cs="Times New Roman"/>
          <w:i/>
        </w:rPr>
      </w:pPr>
      <w:r>
        <w:rPr>
          <w:rFonts w:cs="Times New Roman"/>
          <w:i/>
        </w:rPr>
        <w:t>Attendance:</w:t>
      </w:r>
    </w:p>
    <w:p w14:paraId="1C2EACBD" w14:textId="77777777" w:rsidR="00E2644A" w:rsidRDefault="00E2644A" w:rsidP="00E2644A">
      <w:pPr>
        <w:jc w:val="both"/>
        <w:rPr>
          <w:rFonts w:cs="Times New Roman"/>
        </w:rPr>
      </w:pPr>
      <w:r w:rsidRPr="00EF151C">
        <w:rPr>
          <w:rFonts w:cs="Times New Roman"/>
        </w:rPr>
        <w:t xml:space="preserve">Attendance is mandatory. Students may receive excused absences at the professional discretion of the school nurse, the associate director of mental health services, the associate director of college counseling and student engagement, the director of academic affairs, and the executive director of the Indiana Academy. Unexcused absences occur when students miss class without prior approval from the aforementioned designated school officials. Continued absences (both excused and unexcused) from Academy classes increase the likelihood of unsuccessful completion. </w:t>
      </w:r>
    </w:p>
    <w:p w14:paraId="45A58EE0" w14:textId="77777777" w:rsidR="00E2644A" w:rsidRPr="00EF151C" w:rsidRDefault="00E2644A" w:rsidP="00E2644A">
      <w:pPr>
        <w:ind w:left="360"/>
        <w:jc w:val="both"/>
        <w:rPr>
          <w:rFonts w:cs="Times New Roman"/>
        </w:rPr>
      </w:pPr>
    </w:p>
    <w:p w14:paraId="7B66F466" w14:textId="77777777" w:rsidR="00E2644A" w:rsidRPr="00EF151C" w:rsidRDefault="00E2644A" w:rsidP="00E2644A">
      <w:pPr>
        <w:jc w:val="both"/>
        <w:rPr>
          <w:rFonts w:cs="Times New Roman"/>
        </w:rPr>
      </w:pPr>
      <w:r w:rsidRPr="00EF151C">
        <w:rPr>
          <w:rFonts w:cs="Times New Roman"/>
        </w:rPr>
        <w:t>Alongside steady attendance, students are expected to maintain consistent healthy habits of decorum, respect, and kindness towards their classmates, instructors, and teaching assistants. When students fail to meet these classroom behavioral standards and academic habits, it is the expectation faculty engage appropriately to bring quick and immediate resolution. When students consistently fail to meet these behavioral standards and academic habits in the classroom, an administrative consequence ladder will be adopted, and recorded, in attempt to administratively address, engage, and rectify ongoing challenges.</w:t>
      </w:r>
    </w:p>
    <w:p w14:paraId="196C9215" w14:textId="77777777" w:rsidR="009741FC" w:rsidRDefault="009741FC" w:rsidP="009741FC">
      <w:pPr>
        <w:rPr>
          <w:rFonts w:cs="Times New Roman"/>
        </w:rPr>
      </w:pPr>
    </w:p>
    <w:p w14:paraId="752CEAD2" w14:textId="77777777" w:rsidR="009741FC" w:rsidRDefault="009741FC" w:rsidP="009741FC">
      <w:pPr>
        <w:rPr>
          <w:rFonts w:cs="Times New Roman"/>
          <w:i/>
          <w:iCs/>
        </w:rPr>
      </w:pPr>
      <w:r>
        <w:rPr>
          <w:rFonts w:cs="Times New Roman"/>
          <w:i/>
          <w:iCs/>
        </w:rPr>
        <w:t>IA Wireless Device Policy:</w:t>
      </w:r>
    </w:p>
    <w:p w14:paraId="5E846DFC" w14:textId="77777777" w:rsidR="00E2644A" w:rsidRDefault="00E2644A" w:rsidP="00E2644A">
      <w:pPr>
        <w:rPr>
          <w:rFonts w:eastAsia="Times New Roman" w:cs="Times New Roman"/>
        </w:rPr>
      </w:pPr>
      <w:r w:rsidRPr="00EF151C">
        <w:rPr>
          <w:rFonts w:eastAsia="Times New Roman" w:cs="Times New Roman"/>
        </w:rPr>
        <w:t>Pursuant to Indiana Code 20-26-5-40.7, The Indiana Academy for Science,</w:t>
      </w:r>
      <w:r w:rsidRPr="00EF151C">
        <w:rPr>
          <w:rFonts w:eastAsia="Times New Roman" w:cs="Times New Roman"/>
        </w:rPr>
        <w:br/>
        <w:t>Mathematics and Humanities prohibits student use of wireless communication</w:t>
      </w:r>
      <w:r w:rsidRPr="00EF151C">
        <w:rPr>
          <w:rFonts w:eastAsia="Times New Roman" w:cs="Times New Roman"/>
        </w:rPr>
        <w:br/>
        <w:t>devices for non-instructional purposes in the classroom. As such, any and all</w:t>
      </w:r>
      <w:r w:rsidRPr="00EF151C">
        <w:rPr>
          <w:rFonts w:eastAsia="Times New Roman" w:cs="Times New Roman"/>
        </w:rPr>
        <w:br/>
        <w:t>portable wireless devices, that have the capability to provide voice, messaging,</w:t>
      </w:r>
      <w:r w:rsidRPr="00EF151C">
        <w:rPr>
          <w:rFonts w:eastAsia="Times New Roman" w:cs="Times New Roman"/>
        </w:rPr>
        <w:br/>
        <w:t>or other data communication between two or more parties, must only be used for</w:t>
      </w:r>
      <w:r w:rsidRPr="00EF151C">
        <w:rPr>
          <w:rFonts w:eastAsia="Times New Roman" w:cs="Times New Roman"/>
        </w:rPr>
        <w:br/>
        <w:t>academic purposes directly tied to the classroom activity or related educational</w:t>
      </w:r>
      <w:r w:rsidRPr="00EF151C">
        <w:rPr>
          <w:rFonts w:eastAsia="Times New Roman" w:cs="Times New Roman"/>
        </w:rPr>
        <w:br/>
      </w:r>
      <w:r w:rsidRPr="00EF151C">
        <w:rPr>
          <w:rFonts w:eastAsia="Times New Roman" w:cs="Times New Roman"/>
        </w:rPr>
        <w:lastRenderedPageBreak/>
        <w:t>task. Exceptions to this wireless device policy are eligible through academic</w:t>
      </w:r>
      <w:r w:rsidRPr="00EF151C">
        <w:rPr>
          <w:rFonts w:eastAsia="Times New Roman" w:cs="Times New Roman"/>
        </w:rPr>
        <w:br/>
        <w:t>accommodations, individualized education programs, or with instructor approval</w:t>
      </w:r>
      <w:r w:rsidRPr="00EF151C">
        <w:rPr>
          <w:rFonts w:eastAsia="Times New Roman" w:cs="Times New Roman"/>
        </w:rPr>
        <w:br/>
        <w:t>permitting the use of a wireless device for justification related to health,</w:t>
      </w:r>
      <w:r w:rsidRPr="00EF151C">
        <w:rPr>
          <w:rFonts w:eastAsia="Times New Roman" w:cs="Times New Roman"/>
        </w:rPr>
        <w:br/>
        <w:t>safety, and/or well-being.</w:t>
      </w:r>
    </w:p>
    <w:p w14:paraId="422F13CF" w14:textId="77777777" w:rsidR="00E2644A" w:rsidRDefault="00E2644A" w:rsidP="00E2644A">
      <w:pPr>
        <w:rPr>
          <w:rFonts w:eastAsia="Times New Roman" w:cs="Times New Roman"/>
        </w:rPr>
      </w:pPr>
    </w:p>
    <w:p w14:paraId="197C3A49" w14:textId="4B096330" w:rsidR="00E2644A" w:rsidRPr="00EF151C" w:rsidRDefault="00E2644A" w:rsidP="00E2644A">
      <w:pPr>
        <w:rPr>
          <w:rFonts w:eastAsia="Times New Roman" w:cs="Times New Roman"/>
        </w:rPr>
      </w:pPr>
      <w:r w:rsidRPr="00EF151C">
        <w:rPr>
          <w:rFonts w:eastAsia="Times New Roman" w:cs="Times New Roman"/>
        </w:rPr>
        <w:t>The improper use of a wireless device in an active classroom setting is subject</w:t>
      </w:r>
      <w:r w:rsidRPr="00EF151C">
        <w:rPr>
          <w:rFonts w:eastAsia="Times New Roman" w:cs="Times New Roman"/>
        </w:rPr>
        <w:br/>
        <w:t>to disciplinary action including</w:t>
      </w:r>
      <w:r>
        <w:rPr>
          <w:rFonts w:eastAsia="Times New Roman" w:cs="Times New Roman"/>
        </w:rPr>
        <w:t>,</w:t>
      </w:r>
      <w:r w:rsidRPr="00EF151C">
        <w:rPr>
          <w:rFonts w:eastAsia="Times New Roman" w:cs="Times New Roman"/>
        </w:rPr>
        <w:t xml:space="preserve"> but not limited to</w:t>
      </w:r>
      <w:r>
        <w:rPr>
          <w:rFonts w:eastAsia="Times New Roman" w:cs="Times New Roman"/>
        </w:rPr>
        <w:t>,</w:t>
      </w:r>
      <w:r w:rsidRPr="00EF151C">
        <w:rPr>
          <w:rFonts w:eastAsia="Times New Roman" w:cs="Times New Roman"/>
        </w:rPr>
        <w:t xml:space="preserve"> a verbal warning, temporary</w:t>
      </w:r>
    </w:p>
    <w:p w14:paraId="4DD4BEE9" w14:textId="77777777" w:rsidR="00E2644A" w:rsidRPr="00EF151C" w:rsidRDefault="00E2644A" w:rsidP="00E2644A">
      <w:pPr>
        <w:rPr>
          <w:rFonts w:eastAsia="Times New Roman" w:cs="Times New Roman"/>
        </w:rPr>
      </w:pPr>
      <w:r w:rsidRPr="00EF151C">
        <w:rPr>
          <w:rFonts w:eastAsia="Times New Roman" w:cs="Times New Roman"/>
        </w:rPr>
        <w:t>seizure of said device by a school official, an unexcused absence for the class</w:t>
      </w:r>
      <w:r w:rsidRPr="00EF151C">
        <w:rPr>
          <w:rFonts w:eastAsia="Times New Roman" w:cs="Times New Roman"/>
        </w:rPr>
        <w:br/>
        <w:t>in question, written communication to parent/guardian, among other elevated</w:t>
      </w:r>
      <w:r w:rsidRPr="00EF151C">
        <w:rPr>
          <w:rFonts w:eastAsia="Times New Roman" w:cs="Times New Roman"/>
        </w:rPr>
        <w:br/>
        <w:t>consequences for repeated improper use.</w:t>
      </w:r>
    </w:p>
    <w:p w14:paraId="503766E3" w14:textId="77777777" w:rsidR="009741FC" w:rsidRPr="005E66DD" w:rsidRDefault="009741FC" w:rsidP="009741FC"/>
    <w:p w14:paraId="7872E7E1" w14:textId="77777777" w:rsidR="009741FC" w:rsidRDefault="009741FC" w:rsidP="009741FC">
      <w:pPr>
        <w:rPr>
          <w:rFonts w:cs="Times New Roman"/>
          <w:i/>
        </w:rPr>
      </w:pPr>
      <w:r>
        <w:rPr>
          <w:rFonts w:cs="Times New Roman"/>
          <w:i/>
        </w:rPr>
        <w:t xml:space="preserve">Canvas: </w:t>
      </w:r>
    </w:p>
    <w:p w14:paraId="6B36A5A3" w14:textId="77777777" w:rsidR="009741FC" w:rsidRDefault="009741FC" w:rsidP="009741FC">
      <w:pPr>
        <w:rPr>
          <w:rFonts w:cs="Times New Roman"/>
        </w:rPr>
      </w:pPr>
      <w:r>
        <w:rPr>
          <w:rFonts w:cs="Times New Roman"/>
        </w:rPr>
        <w:t>Reading assignments and handouts will be posted on the class Canvas site. It is imperative that you check this regularly. You will also submit all written work via Canvas.</w:t>
      </w:r>
    </w:p>
    <w:p w14:paraId="2A7D44A5" w14:textId="77777777" w:rsidR="009741FC" w:rsidRDefault="009741FC" w:rsidP="009741FC">
      <w:pPr>
        <w:rPr>
          <w:rFonts w:cs="Times New Roman"/>
        </w:rPr>
      </w:pPr>
    </w:p>
    <w:p w14:paraId="7368F043" w14:textId="77777777" w:rsidR="00E2644A" w:rsidRDefault="00E2644A" w:rsidP="00E2644A">
      <w:pPr>
        <w:rPr>
          <w:rFonts w:cs="Times New Roman"/>
          <w:i/>
          <w:iCs/>
        </w:rPr>
      </w:pPr>
      <w:r>
        <w:rPr>
          <w:rFonts w:cs="Times New Roman"/>
          <w:i/>
          <w:iCs/>
        </w:rPr>
        <w:t xml:space="preserve">Ball State University </w:t>
      </w:r>
      <w:proofErr w:type="spellStart"/>
      <w:r>
        <w:rPr>
          <w:rFonts w:cs="Times New Roman"/>
          <w:i/>
          <w:iCs/>
        </w:rPr>
        <w:t>Benificence</w:t>
      </w:r>
      <w:proofErr w:type="spellEnd"/>
      <w:r>
        <w:rPr>
          <w:rFonts w:cs="Times New Roman"/>
          <w:i/>
          <w:iCs/>
        </w:rPr>
        <w:t xml:space="preserve"> Pledge:</w:t>
      </w:r>
    </w:p>
    <w:p w14:paraId="1BD63A8B" w14:textId="77777777" w:rsidR="00E2644A" w:rsidRPr="00EF151C" w:rsidRDefault="00E2644A" w:rsidP="00E2644A">
      <w:pPr>
        <w:jc w:val="both"/>
        <w:rPr>
          <w:rFonts w:cs="Times New Roman"/>
        </w:rPr>
      </w:pPr>
      <w:r w:rsidRPr="00EF151C">
        <w:rPr>
          <w:rFonts w:cs="Times New Roman"/>
        </w:rPr>
        <w:t>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whom we serve. We promote a culture of respect and civil discourse as evident in our Beneficence Pledge. As a reflection of Ball State’s commitment to respect, civil discourse, and the Beneficence Pledge, inclusiveness at the Indiana Academy emerges as one of the priorities of our living and learning community. We strive to exist together respectfully and compassionately, creating an environment where every member can thrive.</w:t>
      </w:r>
    </w:p>
    <w:p w14:paraId="64E33E77" w14:textId="77777777" w:rsidR="009741FC" w:rsidRPr="00E2644A" w:rsidRDefault="009741FC" w:rsidP="009741FC">
      <w:pPr>
        <w:rPr>
          <w:rFonts w:cs="Times New Roman"/>
        </w:rPr>
      </w:pPr>
    </w:p>
    <w:p w14:paraId="1F635BB4" w14:textId="6A88E13D" w:rsidR="00E2644A" w:rsidRPr="00E2644A" w:rsidRDefault="00E2644A" w:rsidP="00E2644A">
      <w:pPr>
        <w:rPr>
          <w:rFonts w:eastAsia="Times New Roman" w:cs="Times New Roman"/>
          <w:bCs w:val="0"/>
          <w:i/>
          <w:iCs/>
          <w:color w:val="212121"/>
        </w:rPr>
      </w:pPr>
      <w:r w:rsidRPr="00E2644A">
        <w:rPr>
          <w:rFonts w:eastAsia="Times New Roman" w:cs="Times New Roman"/>
          <w:bCs w:val="0"/>
          <w:i/>
          <w:iCs/>
          <w:color w:val="212121"/>
        </w:rPr>
        <w:t>HUMANITIES DIVISION STATEMENT ON AI</w:t>
      </w:r>
      <w:r>
        <w:rPr>
          <w:rFonts w:eastAsia="Times New Roman" w:cs="Times New Roman"/>
          <w:bCs w:val="0"/>
          <w:i/>
          <w:iCs/>
          <w:color w:val="212121"/>
        </w:rPr>
        <w:t>:</w:t>
      </w:r>
    </w:p>
    <w:p w14:paraId="41C1C921" w14:textId="77777777" w:rsidR="00E2644A" w:rsidRPr="00E2644A" w:rsidRDefault="00E2644A" w:rsidP="00E2644A">
      <w:pPr>
        <w:rPr>
          <w:rFonts w:eastAsia="Times New Roman" w:cs="Times New Roman"/>
          <w:bCs w:val="0"/>
          <w:color w:val="212121"/>
        </w:rPr>
      </w:pPr>
      <w:r w:rsidRPr="00E2644A">
        <w:rPr>
          <w:rFonts w:eastAsia="Times New Roman" w:cs="Times New Roman"/>
          <w:bCs w:val="0"/>
          <w:color w:val="212121"/>
        </w:rPr>
        <w:t>“The Humanities Division recognizes that artificial intelligence (AI) provides some exciting new tools for academic work. However, AI also poses significant dangers for academic integrity. Passing off as your own any research, words, or ideas which you did not create is plagiarism. That is always the case whether the source is print, internet content, or generated by AI. It is vital to read the policies your individual humanities instructors have regarding AI, and ask them any questions you may have about the use of AI in their course.”</w:t>
      </w:r>
    </w:p>
    <w:p w14:paraId="52B3F498" w14:textId="77777777" w:rsidR="00E2644A" w:rsidRPr="00996483" w:rsidRDefault="00E2644A" w:rsidP="009741FC">
      <w:pPr>
        <w:rPr>
          <w:rFonts w:cs="Times New Roman"/>
        </w:rPr>
      </w:pPr>
    </w:p>
    <w:p w14:paraId="7CE053C9" w14:textId="77777777" w:rsidR="009741FC" w:rsidRPr="00996483" w:rsidRDefault="009741FC" w:rsidP="009741FC">
      <w:pPr>
        <w:rPr>
          <w:rFonts w:cs="Times New Roman"/>
          <w:i/>
        </w:rPr>
      </w:pPr>
      <w:r w:rsidRPr="00996483">
        <w:rPr>
          <w:rFonts w:cs="Times New Roman"/>
          <w:i/>
        </w:rPr>
        <w:t>Disclaimer:</w:t>
      </w:r>
    </w:p>
    <w:p w14:paraId="44FB5030" w14:textId="77777777" w:rsidR="009741FC" w:rsidRDefault="009741FC" w:rsidP="009741FC">
      <w:pPr>
        <w:rPr>
          <w:rFonts w:cs="Times New Roman"/>
        </w:rPr>
      </w:pPr>
      <w:r w:rsidRPr="00996483">
        <w:rPr>
          <w:rFonts w:cs="Times New Roman"/>
        </w:rPr>
        <w:t xml:space="preserve">I reserve the right to make changes to </w:t>
      </w:r>
      <w:r>
        <w:rPr>
          <w:rFonts w:cs="Times New Roman"/>
        </w:rPr>
        <w:t>the course calendar</w:t>
      </w:r>
      <w:r w:rsidRPr="00996483">
        <w:rPr>
          <w:rFonts w:cs="Times New Roman"/>
        </w:rPr>
        <w:t xml:space="preserve"> at my discretion.  I will give notice to the class as soon as possible after making any change.</w:t>
      </w:r>
    </w:p>
    <w:p w14:paraId="7C317AEC" w14:textId="77777777" w:rsidR="000472C4" w:rsidRDefault="000472C4" w:rsidP="00767091">
      <w:pPr>
        <w:rPr>
          <w:rFonts w:cs="Times New Roman"/>
        </w:rPr>
      </w:pPr>
    </w:p>
    <w:p w14:paraId="5BF76354" w14:textId="77777777" w:rsidR="00767091" w:rsidRDefault="00767091" w:rsidP="00767091">
      <w:pPr>
        <w:rPr>
          <w:rFonts w:cs="Times New Roman"/>
          <w:i/>
          <w:iCs/>
        </w:rPr>
      </w:pPr>
      <w:r>
        <w:rPr>
          <w:rFonts w:cs="Times New Roman"/>
          <w:i/>
          <w:iCs/>
        </w:rPr>
        <w:t>Course Calendar:</w:t>
      </w:r>
    </w:p>
    <w:p w14:paraId="3CAA68DB" w14:textId="77777777" w:rsidR="00767091" w:rsidRDefault="00767091" w:rsidP="00767091">
      <w:pPr>
        <w:rPr>
          <w:rFonts w:cs="Times New Roman"/>
        </w:rPr>
      </w:pPr>
    </w:p>
    <w:p w14:paraId="74E5BF19" w14:textId="5C189382" w:rsidR="00CD65C6" w:rsidRDefault="00E2644A" w:rsidP="00CD65C6">
      <w:pPr>
        <w:rPr>
          <w:rFonts w:cs="Times New Roman"/>
        </w:rPr>
      </w:pPr>
      <w:r>
        <w:rPr>
          <w:rFonts w:cs="Times New Roman"/>
        </w:rPr>
        <w:t>Week 1:</w:t>
      </w:r>
      <w:r>
        <w:rPr>
          <w:rFonts w:cs="Times New Roman"/>
        </w:rPr>
        <w:tab/>
        <w:t>8/12</w:t>
      </w:r>
      <w:r>
        <w:rPr>
          <w:rFonts w:cs="Times New Roman"/>
        </w:rPr>
        <w:tab/>
        <w:t>Intro to the Course</w:t>
      </w:r>
    </w:p>
    <w:p w14:paraId="62A93092" w14:textId="354C85CA" w:rsidR="00E2644A" w:rsidRDefault="00E2644A" w:rsidP="00CD65C6">
      <w:pPr>
        <w:rPr>
          <w:rFonts w:cs="Times New Roman"/>
        </w:rPr>
      </w:pPr>
      <w:r>
        <w:rPr>
          <w:rFonts w:cs="Times New Roman"/>
        </w:rPr>
        <w:tab/>
      </w:r>
      <w:r>
        <w:rPr>
          <w:rFonts w:cs="Times New Roman"/>
        </w:rPr>
        <w:tab/>
        <w:t>8/14</w:t>
      </w:r>
      <w:r>
        <w:rPr>
          <w:rFonts w:cs="Times New Roman"/>
        </w:rPr>
        <w:tab/>
        <w:t>Governance &amp; Representation</w:t>
      </w:r>
    </w:p>
    <w:p w14:paraId="7131FCCD" w14:textId="15858EDE" w:rsidR="00E2644A" w:rsidRDefault="00E2644A" w:rsidP="00E2644A">
      <w:pPr>
        <w:ind w:left="2160"/>
        <w:rPr>
          <w:rFonts w:cs="Times New Roman"/>
          <w:b/>
          <w:bCs w:val="0"/>
        </w:rPr>
      </w:pPr>
      <w:r w:rsidRPr="00E2644A">
        <w:rPr>
          <w:rFonts w:cs="Times New Roman"/>
          <w:b/>
          <w:bCs w:val="0"/>
        </w:rPr>
        <w:t>Read: Jacob S. Hacker and Paul Pierson. “Winner-Take-All Politics: Public Policy, Political Organization, and the Precipitous Rise of Top Incomes in the United States.” Politics &amp;Society 38(2) (June 2010): 152-204.</w:t>
      </w:r>
    </w:p>
    <w:p w14:paraId="2407A33A" w14:textId="77777777" w:rsidR="00E2644A" w:rsidRDefault="00E2644A" w:rsidP="00E2644A">
      <w:pPr>
        <w:rPr>
          <w:rFonts w:cs="Times New Roman"/>
        </w:rPr>
      </w:pPr>
    </w:p>
    <w:p w14:paraId="6EC1ECC4" w14:textId="68F31276" w:rsidR="00E2644A" w:rsidRDefault="00E2644A" w:rsidP="00E2644A">
      <w:pPr>
        <w:rPr>
          <w:rFonts w:cs="Times New Roman"/>
        </w:rPr>
      </w:pPr>
      <w:r>
        <w:rPr>
          <w:rFonts w:cs="Times New Roman"/>
        </w:rPr>
        <w:lastRenderedPageBreak/>
        <w:t>Week 2:</w:t>
      </w:r>
      <w:r>
        <w:rPr>
          <w:rFonts w:cs="Times New Roman"/>
        </w:rPr>
        <w:tab/>
        <w:t>8/19</w:t>
      </w:r>
      <w:r>
        <w:rPr>
          <w:rFonts w:cs="Times New Roman"/>
        </w:rPr>
        <w:tab/>
        <w:t>Conflicts and Compromises toward Constitution</w:t>
      </w:r>
    </w:p>
    <w:p w14:paraId="3E1F462E" w14:textId="77777777" w:rsidR="00352BD0" w:rsidRPr="00352BD0" w:rsidRDefault="00352BD0" w:rsidP="00352BD0">
      <w:pPr>
        <w:ind w:left="2160"/>
        <w:rPr>
          <w:rFonts w:cs="Times New Roman"/>
          <w:b/>
          <w:bCs w:val="0"/>
        </w:rPr>
      </w:pPr>
      <w:r w:rsidRPr="00352BD0">
        <w:rPr>
          <w:rFonts w:cs="Times New Roman"/>
          <w:b/>
          <w:bCs w:val="0"/>
        </w:rPr>
        <w:t xml:space="preserve">Read: Richard V. Reeves. “The Dangerous Separation of the American Upper Middle Class.” Brookings Social Mobility Memos blog, September 3, 2015. </w:t>
      </w:r>
    </w:p>
    <w:p w14:paraId="4C8BB6A0" w14:textId="15A1AF4E" w:rsidR="00E2644A" w:rsidRPr="00352BD0" w:rsidRDefault="00352BD0" w:rsidP="00352BD0">
      <w:pPr>
        <w:ind w:left="2160"/>
        <w:rPr>
          <w:rFonts w:cs="Times New Roman"/>
          <w:b/>
          <w:bCs w:val="0"/>
        </w:rPr>
      </w:pPr>
      <w:r w:rsidRPr="00352BD0">
        <w:rPr>
          <w:rFonts w:cs="Times New Roman"/>
          <w:b/>
          <w:bCs w:val="0"/>
        </w:rPr>
        <w:t>Read:  Kay Lehman Schlozman, Henry E. Brady, and Sidney Verba. “The Big Tilt: Participatory Inequality in America.” The American Prospect 8(32) (May-June 1997).</w:t>
      </w:r>
    </w:p>
    <w:p w14:paraId="7D5815CD" w14:textId="642AD134" w:rsidR="00352BD0" w:rsidRDefault="00352BD0" w:rsidP="00352BD0">
      <w:pPr>
        <w:ind w:left="2160"/>
        <w:rPr>
          <w:rFonts w:cs="Times New Roman"/>
          <w:b/>
          <w:bCs w:val="0"/>
        </w:rPr>
      </w:pPr>
      <w:r w:rsidRPr="00352BD0">
        <w:rPr>
          <w:rFonts w:cs="Times New Roman"/>
          <w:b/>
          <w:bCs w:val="0"/>
        </w:rPr>
        <w:t>Read: Benjamin Radcliff and Patricia Davis. “Labor Organization and Electoral Participation in the Industrial Democracies.” American Journal of Political Science 44(1) (2000): 132-41.</w:t>
      </w:r>
    </w:p>
    <w:p w14:paraId="1A6C3AB6" w14:textId="37DE1F16" w:rsidR="00352BD0" w:rsidRDefault="00352BD0" w:rsidP="00352BD0">
      <w:pPr>
        <w:rPr>
          <w:rFonts w:cs="Times New Roman"/>
        </w:rPr>
      </w:pPr>
      <w:r>
        <w:rPr>
          <w:rFonts w:cs="Times New Roman"/>
          <w:b/>
          <w:bCs w:val="0"/>
        </w:rPr>
        <w:tab/>
      </w:r>
      <w:r>
        <w:rPr>
          <w:rFonts w:cs="Times New Roman"/>
          <w:b/>
          <w:bCs w:val="0"/>
        </w:rPr>
        <w:tab/>
      </w:r>
      <w:r>
        <w:rPr>
          <w:rFonts w:cs="Times New Roman"/>
        </w:rPr>
        <w:t>8/21</w:t>
      </w:r>
      <w:r>
        <w:rPr>
          <w:rFonts w:cs="Times New Roman"/>
        </w:rPr>
        <w:tab/>
        <w:t>The Constitution</w:t>
      </w:r>
    </w:p>
    <w:p w14:paraId="4FF14F23" w14:textId="32F849A9" w:rsidR="00352BD0" w:rsidRDefault="00352BD0" w:rsidP="00352BD0">
      <w:pPr>
        <w:ind w:left="2160"/>
        <w:rPr>
          <w:rFonts w:cs="Times New Roman"/>
          <w:b/>
          <w:bCs w:val="0"/>
        </w:rPr>
      </w:pPr>
      <w:r w:rsidRPr="00352BD0">
        <w:rPr>
          <w:rFonts w:cs="Times New Roman"/>
          <w:b/>
          <w:bCs w:val="0"/>
        </w:rPr>
        <w:t>Read: Katherine Cramer. “Putting Inequality in its Place: Rural Consciousness and the Power of Perspective.” American Political Science Review 106(3) (August 2012): 517-32.</w:t>
      </w:r>
    </w:p>
    <w:p w14:paraId="6C2E7C76" w14:textId="77777777" w:rsidR="00352BD0" w:rsidRDefault="00352BD0" w:rsidP="00352BD0">
      <w:pPr>
        <w:rPr>
          <w:rFonts w:cs="Times New Roman"/>
          <w:b/>
          <w:bCs w:val="0"/>
        </w:rPr>
      </w:pPr>
    </w:p>
    <w:p w14:paraId="4474CA2D" w14:textId="29337A5D" w:rsidR="00352BD0" w:rsidRDefault="00352BD0" w:rsidP="00352BD0">
      <w:pPr>
        <w:rPr>
          <w:rFonts w:cs="Times New Roman"/>
        </w:rPr>
      </w:pPr>
      <w:r>
        <w:rPr>
          <w:rFonts w:cs="Times New Roman"/>
        </w:rPr>
        <w:t>Week 3:</w:t>
      </w:r>
      <w:r>
        <w:rPr>
          <w:rFonts w:cs="Times New Roman"/>
        </w:rPr>
        <w:tab/>
        <w:t>8/26</w:t>
      </w:r>
      <w:r>
        <w:rPr>
          <w:rFonts w:cs="Times New Roman"/>
        </w:rPr>
        <w:tab/>
        <w:t>Federalism</w:t>
      </w:r>
    </w:p>
    <w:p w14:paraId="4913D5C5" w14:textId="298B48CE" w:rsidR="00352BD0" w:rsidRDefault="00352BD0" w:rsidP="00352BD0">
      <w:pPr>
        <w:ind w:left="2160"/>
        <w:rPr>
          <w:rFonts w:cs="Times New Roman"/>
          <w:b/>
          <w:bCs w:val="0"/>
        </w:rPr>
      </w:pPr>
      <w:r w:rsidRPr="00352BD0">
        <w:rPr>
          <w:rFonts w:cs="Times New Roman"/>
          <w:b/>
          <w:bCs w:val="0"/>
        </w:rPr>
        <w:t>Read: Maureen A. Craig, Julian M. Rucker, and Jennifer Richeson. “Racial and Political</w:t>
      </w:r>
      <w:r w:rsidRPr="00352BD0">
        <w:rPr>
          <w:rFonts w:cs="Times New Roman"/>
          <w:b/>
          <w:bCs w:val="0"/>
        </w:rPr>
        <w:tab/>
        <w:t>Dynamics of an Approaching ‘Majority Minority’ United States.” The Annals of the American Academy of Political and Social Science 677 (May 2018): 204-214.</w:t>
      </w:r>
    </w:p>
    <w:p w14:paraId="1E8788D9" w14:textId="0F55ED3C" w:rsidR="00352BD0" w:rsidRDefault="00352BD0" w:rsidP="00352BD0">
      <w:pPr>
        <w:rPr>
          <w:rFonts w:cs="Times New Roman"/>
        </w:rPr>
      </w:pPr>
      <w:r>
        <w:rPr>
          <w:rFonts w:cs="Times New Roman"/>
        </w:rPr>
        <w:tab/>
      </w:r>
      <w:r>
        <w:rPr>
          <w:rFonts w:cs="Times New Roman"/>
        </w:rPr>
        <w:tab/>
        <w:t>8/28</w:t>
      </w:r>
      <w:r>
        <w:rPr>
          <w:rFonts w:cs="Times New Roman"/>
        </w:rPr>
        <w:tab/>
        <w:t>Civil Liberties</w:t>
      </w:r>
    </w:p>
    <w:p w14:paraId="7A29F484" w14:textId="0B55F855" w:rsidR="00352BD0" w:rsidRDefault="00352BD0" w:rsidP="00352BD0">
      <w:pPr>
        <w:ind w:left="2160"/>
        <w:rPr>
          <w:rFonts w:cs="Times New Roman"/>
          <w:b/>
          <w:bCs w:val="0"/>
        </w:rPr>
      </w:pPr>
      <w:r w:rsidRPr="00352BD0">
        <w:rPr>
          <w:rFonts w:cs="Times New Roman"/>
          <w:b/>
          <w:bCs w:val="0"/>
        </w:rPr>
        <w:t>Read: Rigby, Elizabeth and Gerald C. Wright. 2013. “Political Parties and Representation of the Poor in the American States.” American Journal of Political Science, 57(3): 552-565.</w:t>
      </w:r>
    </w:p>
    <w:p w14:paraId="6DA03F89" w14:textId="77777777" w:rsidR="00352BD0" w:rsidRDefault="00352BD0" w:rsidP="00352BD0">
      <w:pPr>
        <w:rPr>
          <w:rFonts w:cs="Times New Roman"/>
        </w:rPr>
      </w:pPr>
    </w:p>
    <w:p w14:paraId="5151948D" w14:textId="0ACDE569" w:rsidR="00352BD0" w:rsidRDefault="00352BD0" w:rsidP="00352BD0">
      <w:pPr>
        <w:rPr>
          <w:rFonts w:cs="Times New Roman"/>
        </w:rPr>
      </w:pPr>
      <w:r>
        <w:rPr>
          <w:rFonts w:cs="Times New Roman"/>
        </w:rPr>
        <w:t>Week 4:</w:t>
      </w:r>
      <w:r>
        <w:rPr>
          <w:rFonts w:cs="Times New Roman"/>
        </w:rPr>
        <w:tab/>
        <w:t>9/2</w:t>
      </w:r>
      <w:r>
        <w:rPr>
          <w:rFonts w:cs="Times New Roman"/>
        </w:rPr>
        <w:tab/>
        <w:t>Extended: No Class</w:t>
      </w:r>
    </w:p>
    <w:p w14:paraId="05DAC35E" w14:textId="3A0964F1" w:rsidR="00352BD0" w:rsidRDefault="00352BD0" w:rsidP="00352BD0">
      <w:pPr>
        <w:rPr>
          <w:rFonts w:cs="Times New Roman"/>
        </w:rPr>
      </w:pPr>
      <w:r>
        <w:rPr>
          <w:rFonts w:cs="Times New Roman"/>
        </w:rPr>
        <w:tab/>
      </w:r>
      <w:r>
        <w:rPr>
          <w:rFonts w:cs="Times New Roman"/>
        </w:rPr>
        <w:tab/>
        <w:t>9/4</w:t>
      </w:r>
      <w:r>
        <w:rPr>
          <w:rFonts w:cs="Times New Roman"/>
        </w:rPr>
        <w:tab/>
        <w:t>The Bill of Rights Today</w:t>
      </w:r>
    </w:p>
    <w:p w14:paraId="5C5B91A7" w14:textId="062EABFD" w:rsidR="00352BD0" w:rsidRDefault="00352BD0" w:rsidP="001B6C49">
      <w:pPr>
        <w:ind w:left="2160"/>
        <w:rPr>
          <w:rFonts w:cs="Times New Roman"/>
          <w:b/>
          <w:bCs w:val="0"/>
        </w:rPr>
      </w:pPr>
      <w:r w:rsidRPr="001B6C49">
        <w:rPr>
          <w:rFonts w:cs="Times New Roman"/>
          <w:b/>
          <w:bCs w:val="0"/>
        </w:rPr>
        <w:t xml:space="preserve">Read: </w:t>
      </w:r>
      <w:r w:rsidR="001B6C49" w:rsidRPr="001B6C49">
        <w:rPr>
          <w:rFonts w:cs="Times New Roman"/>
          <w:b/>
          <w:bCs w:val="0"/>
        </w:rPr>
        <w:t>Franko, W. W. (2017). “Understanding Public Perceptions of Growing Economic Inequality.” State Politics &amp; Policy Quarterly.</w:t>
      </w:r>
    </w:p>
    <w:p w14:paraId="279CFC12" w14:textId="77777777" w:rsidR="001B6C49" w:rsidRDefault="001B6C49" w:rsidP="001B6C49">
      <w:pPr>
        <w:rPr>
          <w:rFonts w:cs="Times New Roman"/>
        </w:rPr>
      </w:pPr>
    </w:p>
    <w:p w14:paraId="3EEBE00C" w14:textId="6042A67C" w:rsidR="001B6C49" w:rsidRDefault="001B6C49" w:rsidP="001B6C49">
      <w:pPr>
        <w:rPr>
          <w:rFonts w:cs="Times New Roman"/>
        </w:rPr>
      </w:pPr>
      <w:r>
        <w:rPr>
          <w:rFonts w:cs="Times New Roman"/>
        </w:rPr>
        <w:t>Week 5:</w:t>
      </w:r>
      <w:r>
        <w:rPr>
          <w:rFonts w:cs="Times New Roman"/>
        </w:rPr>
        <w:tab/>
        <w:t>9/9</w:t>
      </w:r>
      <w:r>
        <w:rPr>
          <w:rFonts w:cs="Times New Roman"/>
        </w:rPr>
        <w:tab/>
        <w:t>Civil Rights</w:t>
      </w:r>
    </w:p>
    <w:p w14:paraId="4268A6CB" w14:textId="5D29603A" w:rsidR="001B6C49" w:rsidRDefault="001B6C49" w:rsidP="001B6C49">
      <w:pPr>
        <w:ind w:left="2160"/>
        <w:rPr>
          <w:rFonts w:cs="Times New Roman"/>
          <w:b/>
          <w:bCs w:val="0"/>
        </w:rPr>
      </w:pPr>
      <w:r w:rsidRPr="001B6C49">
        <w:rPr>
          <w:rFonts w:cs="Times New Roman"/>
          <w:b/>
          <w:bCs w:val="0"/>
        </w:rPr>
        <w:t>Read: Swanstrom, Todd, Peter Dreier, and John Mollenkopf. 2002. “Economic Inequality and Public Policy: The Power of Place.” City &amp; Community, 1 (4): 349-372.</w:t>
      </w:r>
    </w:p>
    <w:p w14:paraId="6700DE0B" w14:textId="48D2559B" w:rsidR="001B6C49" w:rsidRDefault="001B6C49" w:rsidP="001B6C49">
      <w:pPr>
        <w:rPr>
          <w:rFonts w:cs="Times New Roman"/>
        </w:rPr>
      </w:pPr>
      <w:r>
        <w:rPr>
          <w:rFonts w:cs="Times New Roman"/>
          <w:b/>
          <w:bCs w:val="0"/>
        </w:rPr>
        <w:tab/>
      </w:r>
      <w:r>
        <w:rPr>
          <w:rFonts w:cs="Times New Roman"/>
          <w:b/>
          <w:bCs w:val="0"/>
        </w:rPr>
        <w:tab/>
      </w:r>
      <w:r>
        <w:rPr>
          <w:rFonts w:cs="Times New Roman"/>
        </w:rPr>
        <w:t>9/11</w:t>
      </w:r>
      <w:r>
        <w:rPr>
          <w:rFonts w:cs="Times New Roman"/>
        </w:rPr>
        <w:tab/>
        <w:t>Essay #1 Due</w:t>
      </w:r>
    </w:p>
    <w:p w14:paraId="341C9831" w14:textId="77777777" w:rsidR="001B6C49" w:rsidRDefault="001B6C49" w:rsidP="001B6C49">
      <w:pPr>
        <w:rPr>
          <w:rFonts w:cs="Times New Roman"/>
        </w:rPr>
      </w:pPr>
    </w:p>
    <w:p w14:paraId="5E2D789B" w14:textId="6CC3A747" w:rsidR="001B6C49" w:rsidRDefault="001B6C49" w:rsidP="001B6C49">
      <w:pPr>
        <w:rPr>
          <w:rFonts w:cs="Times New Roman"/>
        </w:rPr>
      </w:pPr>
      <w:r>
        <w:rPr>
          <w:rFonts w:cs="Times New Roman"/>
        </w:rPr>
        <w:t>Week 6:</w:t>
      </w:r>
      <w:r>
        <w:rPr>
          <w:rFonts w:cs="Times New Roman"/>
        </w:rPr>
        <w:tab/>
        <w:t>9/16</w:t>
      </w:r>
      <w:r>
        <w:rPr>
          <w:rFonts w:cs="Times New Roman"/>
        </w:rPr>
        <w:tab/>
        <w:t>Representation and the Organization of Congress</w:t>
      </w:r>
    </w:p>
    <w:p w14:paraId="64D90A55" w14:textId="1C008C45" w:rsidR="001B6C49" w:rsidRDefault="001B6C49" w:rsidP="001B6C49">
      <w:pPr>
        <w:ind w:left="2160"/>
        <w:rPr>
          <w:rFonts w:cs="Times New Roman"/>
          <w:b/>
          <w:bCs w:val="0"/>
        </w:rPr>
      </w:pPr>
      <w:r w:rsidRPr="001B6C49">
        <w:rPr>
          <w:rFonts w:cs="Times New Roman"/>
          <w:b/>
          <w:bCs w:val="0"/>
        </w:rPr>
        <w:t>Read: Richard Hall and Frank Wayman. “Buying Time: Moneyed Interests and the Mobilization of Bias in Congressional Committees.” American Political Science Review 84(3) (September 1990): 797-820.</w:t>
      </w:r>
    </w:p>
    <w:p w14:paraId="73568D2A" w14:textId="1233CAFD" w:rsidR="001B6C49" w:rsidRDefault="001B6C49" w:rsidP="001B6C49">
      <w:pPr>
        <w:rPr>
          <w:rFonts w:cs="Times New Roman"/>
        </w:rPr>
      </w:pPr>
      <w:r>
        <w:rPr>
          <w:rFonts w:cs="Times New Roman"/>
          <w:b/>
          <w:bCs w:val="0"/>
        </w:rPr>
        <w:tab/>
      </w:r>
      <w:r>
        <w:rPr>
          <w:rFonts w:cs="Times New Roman"/>
          <w:b/>
          <w:bCs w:val="0"/>
        </w:rPr>
        <w:tab/>
      </w:r>
      <w:r>
        <w:rPr>
          <w:rFonts w:cs="Times New Roman"/>
        </w:rPr>
        <w:t>9/18</w:t>
      </w:r>
      <w:r>
        <w:rPr>
          <w:rFonts w:cs="Times New Roman"/>
        </w:rPr>
        <w:tab/>
        <w:t>How a Bill Becomes a Law</w:t>
      </w:r>
    </w:p>
    <w:p w14:paraId="3BD4D36E" w14:textId="5AFD8041" w:rsidR="001B6C49" w:rsidRDefault="001B6C49" w:rsidP="00816BE3">
      <w:pPr>
        <w:ind w:left="2160"/>
        <w:rPr>
          <w:rFonts w:cs="Times New Roman"/>
          <w:b/>
          <w:bCs w:val="0"/>
        </w:rPr>
      </w:pPr>
      <w:r w:rsidRPr="00816BE3">
        <w:rPr>
          <w:rFonts w:cs="Times New Roman"/>
          <w:b/>
          <w:bCs w:val="0"/>
        </w:rPr>
        <w:t xml:space="preserve">Read: </w:t>
      </w:r>
      <w:r w:rsidR="00816BE3" w:rsidRPr="00816BE3">
        <w:rPr>
          <w:rFonts w:cs="Times New Roman"/>
          <w:b/>
          <w:bCs w:val="0"/>
        </w:rPr>
        <w:t xml:space="preserve">Martin </w:t>
      </w:r>
      <w:proofErr w:type="spellStart"/>
      <w:r w:rsidR="00816BE3" w:rsidRPr="00816BE3">
        <w:rPr>
          <w:rFonts w:cs="Times New Roman"/>
          <w:b/>
          <w:bCs w:val="0"/>
        </w:rPr>
        <w:t>Gilens</w:t>
      </w:r>
      <w:proofErr w:type="spellEnd"/>
      <w:r w:rsidR="00816BE3" w:rsidRPr="00816BE3">
        <w:rPr>
          <w:rFonts w:cs="Times New Roman"/>
          <w:b/>
          <w:bCs w:val="0"/>
        </w:rPr>
        <w:t xml:space="preserve"> and Benjamin I. Page. “Testing Theories of American Politics: Elites, Interest Groups, and Average Citizens.” Perspectives on Politics 12(3) (September 2014): 564-81.</w:t>
      </w:r>
    </w:p>
    <w:p w14:paraId="1E5BECBA" w14:textId="77777777" w:rsidR="00816BE3" w:rsidRDefault="00816BE3" w:rsidP="00816BE3">
      <w:pPr>
        <w:ind w:left="2160"/>
        <w:rPr>
          <w:rFonts w:cs="Times New Roman"/>
          <w:b/>
          <w:bCs w:val="0"/>
        </w:rPr>
      </w:pPr>
    </w:p>
    <w:p w14:paraId="65DED2F2" w14:textId="77777777" w:rsidR="00816BE3" w:rsidRDefault="00816BE3" w:rsidP="00816BE3">
      <w:pPr>
        <w:ind w:left="2160"/>
        <w:rPr>
          <w:rFonts w:cs="Times New Roman"/>
          <w:b/>
          <w:bCs w:val="0"/>
        </w:rPr>
      </w:pPr>
    </w:p>
    <w:p w14:paraId="4625EF9C" w14:textId="53F547BF" w:rsidR="00816BE3" w:rsidRDefault="00816BE3" w:rsidP="00816BE3">
      <w:pPr>
        <w:rPr>
          <w:rFonts w:cs="Times New Roman"/>
        </w:rPr>
      </w:pPr>
      <w:r>
        <w:rPr>
          <w:rFonts w:cs="Times New Roman"/>
        </w:rPr>
        <w:lastRenderedPageBreak/>
        <w:t>Week 7:</w:t>
      </w:r>
      <w:r>
        <w:rPr>
          <w:rFonts w:cs="Times New Roman"/>
        </w:rPr>
        <w:tab/>
        <w:t>9/23</w:t>
      </w:r>
      <w:r>
        <w:rPr>
          <w:rFonts w:cs="Times New Roman"/>
        </w:rPr>
        <w:tab/>
        <w:t>The Powers of the Presidency</w:t>
      </w:r>
    </w:p>
    <w:p w14:paraId="1EAE4D9E" w14:textId="1698F2CB" w:rsidR="00816BE3" w:rsidRDefault="00816BE3" w:rsidP="00816BE3">
      <w:pPr>
        <w:ind w:left="2160"/>
        <w:rPr>
          <w:rFonts w:cs="Times New Roman"/>
          <w:b/>
          <w:bCs w:val="0"/>
        </w:rPr>
      </w:pPr>
      <w:r w:rsidRPr="00816BE3">
        <w:rPr>
          <w:rFonts w:cs="Times New Roman"/>
          <w:b/>
          <w:bCs w:val="0"/>
        </w:rPr>
        <w:t xml:space="preserve">Read: Alexander Hertel-Fernandez, Theda Skocpol, and Jason </w:t>
      </w:r>
      <w:proofErr w:type="spellStart"/>
      <w:r w:rsidRPr="00816BE3">
        <w:rPr>
          <w:rFonts w:cs="Times New Roman"/>
          <w:b/>
          <w:bCs w:val="0"/>
        </w:rPr>
        <w:t>Sclar</w:t>
      </w:r>
      <w:proofErr w:type="spellEnd"/>
      <w:r w:rsidRPr="00816BE3">
        <w:rPr>
          <w:rFonts w:cs="Times New Roman"/>
          <w:b/>
          <w:bCs w:val="0"/>
        </w:rPr>
        <w:t>. “When Political Mega-Donors Join Forces: How the Koch Network and the Democracy Alliance Influence Organized U.S. Politics on the Right and Left.” Studies in American Political Development 32(2) (October 2018): 1-39.</w:t>
      </w:r>
    </w:p>
    <w:p w14:paraId="6ACB939E" w14:textId="3F02C008" w:rsidR="00816BE3" w:rsidRDefault="00816BE3" w:rsidP="00816BE3">
      <w:pPr>
        <w:rPr>
          <w:rFonts w:cs="Times New Roman"/>
        </w:rPr>
      </w:pPr>
      <w:r>
        <w:rPr>
          <w:rFonts w:cs="Times New Roman"/>
          <w:b/>
          <w:bCs w:val="0"/>
        </w:rPr>
        <w:tab/>
      </w:r>
      <w:r>
        <w:rPr>
          <w:rFonts w:cs="Times New Roman"/>
          <w:b/>
          <w:bCs w:val="0"/>
        </w:rPr>
        <w:tab/>
      </w:r>
      <w:r>
        <w:rPr>
          <w:rFonts w:cs="Times New Roman"/>
        </w:rPr>
        <w:t>9/25</w:t>
      </w:r>
      <w:r>
        <w:rPr>
          <w:rFonts w:cs="Times New Roman"/>
        </w:rPr>
        <w:tab/>
        <w:t>Presidential Government</w:t>
      </w:r>
    </w:p>
    <w:p w14:paraId="44FD582E" w14:textId="5478B324" w:rsidR="00816BE3" w:rsidRDefault="00816BE3" w:rsidP="00816BE3">
      <w:pPr>
        <w:ind w:left="2160"/>
        <w:rPr>
          <w:rFonts w:cs="Times New Roman"/>
        </w:rPr>
      </w:pPr>
      <w:r w:rsidRPr="00816BE3">
        <w:rPr>
          <w:rFonts w:cs="Times New Roman"/>
          <w:b/>
          <w:bCs w:val="0"/>
        </w:rPr>
        <w:t>Read: Alexander Hertel-Fernandez, Theda Skocpol, and Daniel Lynch. “Business Associations, Conservative Networks, and the Ongoing Republican War over Medicaid Expansion.” Journal of Health Politics, Policy and Law 41(2) (April 2016): 239-86.</w:t>
      </w:r>
    </w:p>
    <w:p w14:paraId="0BFA2582" w14:textId="77777777" w:rsidR="00816BE3" w:rsidRDefault="00816BE3" w:rsidP="00816BE3">
      <w:pPr>
        <w:rPr>
          <w:rFonts w:cs="Times New Roman"/>
        </w:rPr>
      </w:pPr>
    </w:p>
    <w:p w14:paraId="6C45067A" w14:textId="511C5B11" w:rsidR="00816BE3" w:rsidRDefault="00816BE3" w:rsidP="00816BE3">
      <w:pPr>
        <w:rPr>
          <w:rFonts w:cs="Times New Roman"/>
        </w:rPr>
      </w:pPr>
      <w:r>
        <w:rPr>
          <w:rFonts w:cs="Times New Roman"/>
        </w:rPr>
        <w:t>Week 8:</w:t>
      </w:r>
      <w:r>
        <w:rPr>
          <w:rFonts w:cs="Times New Roman"/>
        </w:rPr>
        <w:tab/>
        <w:t>9/30</w:t>
      </w:r>
      <w:r>
        <w:rPr>
          <w:rFonts w:cs="Times New Roman"/>
        </w:rPr>
        <w:tab/>
        <w:t>How Does Bureaucracy Work?</w:t>
      </w:r>
    </w:p>
    <w:p w14:paraId="3EE24D9B" w14:textId="1DD4310D" w:rsidR="00816BE3" w:rsidRDefault="00816BE3" w:rsidP="00816BE3">
      <w:pPr>
        <w:ind w:left="2160"/>
        <w:rPr>
          <w:rFonts w:cs="Times New Roman"/>
          <w:b/>
          <w:bCs w:val="0"/>
        </w:rPr>
      </w:pPr>
      <w:r w:rsidRPr="00816BE3">
        <w:rPr>
          <w:rFonts w:cs="Times New Roman"/>
          <w:b/>
          <w:bCs w:val="0"/>
        </w:rPr>
        <w:t xml:space="preserve">Read: </w:t>
      </w:r>
      <w:proofErr w:type="spellStart"/>
      <w:r w:rsidRPr="00816BE3">
        <w:rPr>
          <w:rFonts w:cs="Times New Roman"/>
          <w:b/>
          <w:bCs w:val="0"/>
        </w:rPr>
        <w:t>Bonica</w:t>
      </w:r>
      <w:proofErr w:type="spellEnd"/>
      <w:r w:rsidRPr="00816BE3">
        <w:rPr>
          <w:rFonts w:cs="Times New Roman"/>
          <w:b/>
          <w:bCs w:val="0"/>
        </w:rPr>
        <w:t>, Adam, McCarty, Nolan, Poole, Keith, and Howard Rosenthal (2013). “Why Hasn’t Democracy Slowed Rising Inequality?” Journal of Economic Perspectives 27(3):103-24.</w:t>
      </w:r>
    </w:p>
    <w:p w14:paraId="3F4AF7C5" w14:textId="0E17E7B3" w:rsidR="00816BE3" w:rsidRDefault="00816BE3" w:rsidP="00816BE3">
      <w:pPr>
        <w:rPr>
          <w:rFonts w:cs="Times New Roman"/>
        </w:rPr>
      </w:pPr>
      <w:r>
        <w:rPr>
          <w:rFonts w:cs="Times New Roman"/>
          <w:b/>
          <w:bCs w:val="0"/>
        </w:rPr>
        <w:tab/>
      </w:r>
      <w:r>
        <w:rPr>
          <w:rFonts w:cs="Times New Roman"/>
          <w:b/>
          <w:bCs w:val="0"/>
        </w:rPr>
        <w:tab/>
      </w:r>
      <w:r>
        <w:rPr>
          <w:rFonts w:cs="Times New Roman"/>
        </w:rPr>
        <w:t>10/2</w:t>
      </w:r>
      <w:r>
        <w:rPr>
          <w:rFonts w:cs="Times New Roman"/>
        </w:rPr>
        <w:tab/>
        <w:t>Problems with Bureaucratic Control</w:t>
      </w:r>
    </w:p>
    <w:p w14:paraId="652259DF" w14:textId="527BBCF0" w:rsidR="00816BE3" w:rsidRDefault="00816BE3" w:rsidP="00816BE3">
      <w:pPr>
        <w:ind w:left="2160"/>
        <w:rPr>
          <w:rFonts w:cs="Times New Roman"/>
        </w:rPr>
      </w:pPr>
      <w:r w:rsidRPr="00816BE3">
        <w:rPr>
          <w:rFonts w:cs="Times New Roman"/>
          <w:b/>
          <w:bCs w:val="0"/>
        </w:rPr>
        <w:t>Read: Martin, Paul S. 2003. “Voting’s Rewards: Voter Turnout, Attentive Publics, and Congressional Allocation of Federal Money.” American Journal of Political Science 47 (1): 110-127.</w:t>
      </w:r>
    </w:p>
    <w:p w14:paraId="1D7FF32C" w14:textId="77777777" w:rsidR="00816BE3" w:rsidRDefault="00816BE3" w:rsidP="00816BE3">
      <w:pPr>
        <w:rPr>
          <w:rFonts w:cs="Times New Roman"/>
        </w:rPr>
      </w:pPr>
    </w:p>
    <w:p w14:paraId="3D13B409" w14:textId="1ED46943" w:rsidR="00816BE3" w:rsidRDefault="00816BE3" w:rsidP="00816BE3">
      <w:pPr>
        <w:rPr>
          <w:rFonts w:cs="Times New Roman"/>
        </w:rPr>
      </w:pPr>
      <w:r>
        <w:rPr>
          <w:rFonts w:cs="Times New Roman"/>
        </w:rPr>
        <w:t>Week 9</w:t>
      </w:r>
      <w:r w:rsidR="00FA53AF">
        <w:rPr>
          <w:rFonts w:cs="Times New Roman"/>
        </w:rPr>
        <w:t>:</w:t>
      </w:r>
      <w:r>
        <w:rPr>
          <w:rFonts w:cs="Times New Roman"/>
        </w:rPr>
        <w:tab/>
        <w:t>10/7</w:t>
      </w:r>
      <w:r>
        <w:rPr>
          <w:rFonts w:cs="Times New Roman"/>
        </w:rPr>
        <w:tab/>
        <w:t>Extended: No Class</w:t>
      </w:r>
    </w:p>
    <w:p w14:paraId="08EEAC52" w14:textId="3C8948DB" w:rsidR="00816BE3" w:rsidRDefault="00816BE3" w:rsidP="00816BE3">
      <w:pPr>
        <w:rPr>
          <w:rFonts w:cs="Times New Roman"/>
        </w:rPr>
      </w:pPr>
      <w:r>
        <w:rPr>
          <w:rFonts w:cs="Times New Roman"/>
        </w:rPr>
        <w:tab/>
      </w:r>
      <w:r>
        <w:rPr>
          <w:rFonts w:cs="Times New Roman"/>
        </w:rPr>
        <w:tab/>
        <w:t>10/9</w:t>
      </w:r>
      <w:r>
        <w:rPr>
          <w:rFonts w:cs="Times New Roman"/>
        </w:rPr>
        <w:tab/>
        <w:t>Federal Jurisdiction &amp; Judicial Review</w:t>
      </w:r>
    </w:p>
    <w:p w14:paraId="47A7BC9D" w14:textId="08FBA4DC" w:rsidR="00FA53AF" w:rsidRDefault="00816BE3" w:rsidP="00FA53AF">
      <w:pPr>
        <w:ind w:left="2160"/>
        <w:rPr>
          <w:rFonts w:cs="Times New Roman"/>
          <w:b/>
          <w:bCs w:val="0"/>
        </w:rPr>
      </w:pPr>
      <w:r w:rsidRPr="00816BE3">
        <w:rPr>
          <w:rFonts w:cs="Times New Roman"/>
          <w:b/>
          <w:bCs w:val="0"/>
        </w:rPr>
        <w:t>Read: Thomas J. Hayes. 2013. “Responsiveness in an Era of Inequality: The Case of the U.S. Senate.” Political Research Quarterly: 66: 585-599.</w:t>
      </w:r>
    </w:p>
    <w:p w14:paraId="75C26672" w14:textId="77777777" w:rsidR="00FA53AF" w:rsidRDefault="00FA53AF" w:rsidP="00FA53AF">
      <w:pPr>
        <w:rPr>
          <w:rFonts w:cs="Times New Roman"/>
          <w:b/>
          <w:bCs w:val="0"/>
        </w:rPr>
      </w:pPr>
    </w:p>
    <w:p w14:paraId="7F208D29" w14:textId="0E273C0D" w:rsidR="00FA53AF" w:rsidRDefault="00FA53AF" w:rsidP="00FA53AF">
      <w:pPr>
        <w:rPr>
          <w:rFonts w:cs="Times New Roman"/>
        </w:rPr>
      </w:pPr>
      <w:r>
        <w:rPr>
          <w:rFonts w:cs="Times New Roman"/>
        </w:rPr>
        <w:t>Week 10:</w:t>
      </w:r>
      <w:r>
        <w:rPr>
          <w:rFonts w:cs="Times New Roman"/>
        </w:rPr>
        <w:tab/>
        <w:t>10/14</w:t>
      </w:r>
      <w:r>
        <w:rPr>
          <w:rFonts w:cs="Times New Roman"/>
        </w:rPr>
        <w:tab/>
        <w:t>The Supreme Court in Action</w:t>
      </w:r>
    </w:p>
    <w:p w14:paraId="29E29A3A" w14:textId="01E9F960" w:rsidR="00FA53AF" w:rsidRDefault="00FA53AF" w:rsidP="00FA53AF">
      <w:pPr>
        <w:ind w:left="2160"/>
        <w:rPr>
          <w:rFonts w:eastAsia="Times New Roman" w:cs="Times New Roman"/>
          <w:b/>
          <w:bCs w:val="0"/>
        </w:rPr>
      </w:pPr>
      <w:r w:rsidRPr="00FA53AF">
        <w:rPr>
          <w:rFonts w:cs="Times New Roman"/>
          <w:b/>
          <w:bCs w:val="0"/>
        </w:rPr>
        <w:t xml:space="preserve">Read: </w:t>
      </w:r>
      <w:r w:rsidRPr="00FA53AF">
        <w:rPr>
          <w:rFonts w:eastAsia="Times New Roman" w:cs="Times New Roman"/>
          <w:b/>
          <w:bCs w:val="0"/>
        </w:rPr>
        <w:t xml:space="preserve">Grumbach, Jacob M. “Does the American Dream Matter for Members of Congress? Social-Class Backgrounds and Roll-Call Votes.” </w:t>
      </w:r>
      <w:r w:rsidRPr="00FA53AF">
        <w:rPr>
          <w:rFonts w:eastAsia="Times New Roman" w:cs="Times New Roman"/>
          <w:b/>
          <w:bCs w:val="0"/>
          <w:i/>
          <w:iCs/>
        </w:rPr>
        <w:t>Political Research Quarterly</w:t>
      </w:r>
      <w:r w:rsidRPr="00FA53AF">
        <w:rPr>
          <w:rFonts w:eastAsia="Times New Roman" w:cs="Times New Roman"/>
          <w:b/>
          <w:bCs w:val="0"/>
        </w:rPr>
        <w:t xml:space="preserve"> 68, no. 2 (2015): 306–23. </w:t>
      </w:r>
    </w:p>
    <w:p w14:paraId="1E4A37D3" w14:textId="59465E94" w:rsidR="00FA53AF" w:rsidRDefault="00FA53AF" w:rsidP="00FA53AF">
      <w:pPr>
        <w:rPr>
          <w:rFonts w:cs="Times New Roman"/>
        </w:rPr>
      </w:pPr>
      <w:r>
        <w:rPr>
          <w:rFonts w:cs="Times New Roman"/>
          <w:b/>
          <w:bCs w:val="0"/>
        </w:rPr>
        <w:tab/>
      </w:r>
      <w:r>
        <w:rPr>
          <w:rFonts w:cs="Times New Roman"/>
          <w:b/>
          <w:bCs w:val="0"/>
        </w:rPr>
        <w:tab/>
      </w:r>
      <w:r>
        <w:rPr>
          <w:rFonts w:cs="Times New Roman"/>
        </w:rPr>
        <w:t>10/16</w:t>
      </w:r>
      <w:r>
        <w:rPr>
          <w:rFonts w:cs="Times New Roman"/>
        </w:rPr>
        <w:tab/>
      </w:r>
      <w:r w:rsidRPr="00FA53AF">
        <w:rPr>
          <w:rFonts w:cs="Times New Roman"/>
          <w:b/>
          <w:bCs w:val="0"/>
        </w:rPr>
        <w:t>Essay #2 Due</w:t>
      </w:r>
    </w:p>
    <w:p w14:paraId="586ABB05" w14:textId="77777777" w:rsidR="00FA53AF" w:rsidRDefault="00FA53AF" w:rsidP="00FA53AF">
      <w:pPr>
        <w:rPr>
          <w:rFonts w:cs="Times New Roman"/>
        </w:rPr>
      </w:pPr>
    </w:p>
    <w:p w14:paraId="6FA5CF5D" w14:textId="77777777" w:rsidR="00FA53AF" w:rsidRDefault="00FA53AF" w:rsidP="00FA53AF">
      <w:pPr>
        <w:rPr>
          <w:rFonts w:cs="Times New Roman"/>
        </w:rPr>
      </w:pPr>
    </w:p>
    <w:p w14:paraId="767B2109" w14:textId="77777777" w:rsidR="00FA53AF" w:rsidRDefault="00FA53AF" w:rsidP="00FA53AF">
      <w:pPr>
        <w:rPr>
          <w:rFonts w:cs="Times New Roman"/>
        </w:rPr>
      </w:pPr>
    </w:p>
    <w:p w14:paraId="1B6A6A97" w14:textId="77777777" w:rsidR="00FA53AF" w:rsidRDefault="00FA53AF" w:rsidP="00FA53AF">
      <w:pPr>
        <w:rPr>
          <w:rFonts w:cs="Times New Roman"/>
        </w:rPr>
      </w:pPr>
    </w:p>
    <w:p w14:paraId="665DDCB3" w14:textId="77777777" w:rsidR="00FA53AF" w:rsidRDefault="00FA53AF" w:rsidP="00FA53AF">
      <w:pPr>
        <w:rPr>
          <w:rFonts w:cs="Times New Roman"/>
        </w:rPr>
      </w:pPr>
    </w:p>
    <w:p w14:paraId="2CA1BE49" w14:textId="77777777" w:rsidR="00FA53AF" w:rsidRDefault="00FA53AF" w:rsidP="00FA53AF">
      <w:pPr>
        <w:rPr>
          <w:rFonts w:cs="Times New Roman"/>
        </w:rPr>
      </w:pPr>
    </w:p>
    <w:p w14:paraId="2F168115" w14:textId="77777777" w:rsidR="00FA53AF" w:rsidRDefault="00FA53AF" w:rsidP="00FA53AF">
      <w:pPr>
        <w:rPr>
          <w:rFonts w:cs="Times New Roman"/>
        </w:rPr>
      </w:pPr>
    </w:p>
    <w:p w14:paraId="2060EAEE" w14:textId="77777777" w:rsidR="00FA53AF" w:rsidRDefault="00FA53AF" w:rsidP="00FA53AF">
      <w:pPr>
        <w:rPr>
          <w:rFonts w:cs="Times New Roman"/>
        </w:rPr>
      </w:pPr>
    </w:p>
    <w:p w14:paraId="39C8FC15" w14:textId="77777777" w:rsidR="00FA53AF" w:rsidRDefault="00FA53AF" w:rsidP="00FA53AF">
      <w:pPr>
        <w:rPr>
          <w:rFonts w:cs="Times New Roman"/>
        </w:rPr>
      </w:pPr>
    </w:p>
    <w:p w14:paraId="13F5D407" w14:textId="77777777" w:rsidR="00FA53AF" w:rsidRDefault="00FA53AF" w:rsidP="00FA53AF">
      <w:pPr>
        <w:rPr>
          <w:rFonts w:cs="Times New Roman"/>
        </w:rPr>
      </w:pPr>
    </w:p>
    <w:p w14:paraId="5191E8C7" w14:textId="77777777" w:rsidR="00FA53AF" w:rsidRDefault="00FA53AF" w:rsidP="00FA53AF">
      <w:pPr>
        <w:rPr>
          <w:rFonts w:cs="Times New Roman"/>
        </w:rPr>
      </w:pPr>
    </w:p>
    <w:p w14:paraId="2BC084B7" w14:textId="77777777" w:rsidR="00FA53AF" w:rsidRDefault="00FA53AF" w:rsidP="00FA53AF">
      <w:pPr>
        <w:rPr>
          <w:rFonts w:cs="Times New Roman"/>
        </w:rPr>
      </w:pPr>
    </w:p>
    <w:p w14:paraId="66701EDD" w14:textId="77777777" w:rsidR="00FA53AF" w:rsidRDefault="00FA53AF" w:rsidP="00FA53AF">
      <w:pPr>
        <w:rPr>
          <w:rFonts w:cs="Times New Roman"/>
        </w:rPr>
      </w:pPr>
    </w:p>
    <w:p w14:paraId="63E4C1BE" w14:textId="77777777" w:rsidR="00FA53AF" w:rsidRDefault="00FA53AF" w:rsidP="00FA53AF">
      <w:pPr>
        <w:rPr>
          <w:rFonts w:cs="Times New Roman"/>
        </w:rPr>
      </w:pPr>
    </w:p>
    <w:p w14:paraId="34CA371D" w14:textId="11BFAC8F" w:rsidR="00FA53AF" w:rsidRDefault="00FA53AF" w:rsidP="00FA53AF">
      <w:pPr>
        <w:rPr>
          <w:rFonts w:cs="Times New Roman"/>
        </w:rPr>
      </w:pPr>
      <w:r>
        <w:rPr>
          <w:rFonts w:cs="Times New Roman"/>
        </w:rPr>
        <w:lastRenderedPageBreak/>
        <w:t>Week 11:</w:t>
      </w:r>
      <w:r>
        <w:rPr>
          <w:rFonts w:cs="Times New Roman"/>
        </w:rPr>
        <w:tab/>
        <w:t>10/21</w:t>
      </w:r>
      <w:r>
        <w:rPr>
          <w:rFonts w:cs="Times New Roman"/>
        </w:rPr>
        <w:tab/>
        <w:t>Public Opinion</w:t>
      </w:r>
    </w:p>
    <w:p w14:paraId="5021EAE5" w14:textId="1F39588E" w:rsidR="00FA53AF" w:rsidRPr="00FA53AF" w:rsidRDefault="00FA53AF" w:rsidP="00FA53AF">
      <w:pPr>
        <w:ind w:left="2160"/>
        <w:rPr>
          <w:rFonts w:cs="Times New Roman"/>
          <w:b/>
          <w:bCs w:val="0"/>
        </w:rPr>
      </w:pPr>
      <w:r w:rsidRPr="00FA53AF">
        <w:rPr>
          <w:rFonts w:cs="Times New Roman"/>
          <w:b/>
          <w:bCs w:val="0"/>
        </w:rPr>
        <w:t>Read: Peter Dreier and Christopher R. Martin. “How ACORN Was Framed: Political Controversy and Media Agenda Setting.” Perspectives on Politics 8(3) (September 2010): 761-792.</w:t>
      </w:r>
    </w:p>
    <w:p w14:paraId="47C8BBCC" w14:textId="652D011F" w:rsidR="00FA53AF" w:rsidRDefault="00FA53AF" w:rsidP="00FA53AF">
      <w:pPr>
        <w:rPr>
          <w:rFonts w:cs="Times New Roman"/>
        </w:rPr>
      </w:pPr>
      <w:r>
        <w:rPr>
          <w:rFonts w:cs="Times New Roman"/>
        </w:rPr>
        <w:tab/>
      </w:r>
      <w:r>
        <w:rPr>
          <w:rFonts w:cs="Times New Roman"/>
        </w:rPr>
        <w:tab/>
        <w:t>10/23</w:t>
      </w:r>
      <w:r>
        <w:rPr>
          <w:rFonts w:cs="Times New Roman"/>
        </w:rPr>
        <w:tab/>
        <w:t>The Media</w:t>
      </w:r>
    </w:p>
    <w:p w14:paraId="76BC908C" w14:textId="0F5D5122" w:rsidR="00FA53AF" w:rsidRPr="00FA53AF" w:rsidRDefault="00FA53AF" w:rsidP="00FA53AF">
      <w:pPr>
        <w:ind w:left="2160"/>
        <w:rPr>
          <w:rFonts w:cs="Times New Roman"/>
          <w:b/>
          <w:bCs w:val="0"/>
        </w:rPr>
      </w:pPr>
      <w:r w:rsidRPr="00FA53AF">
        <w:rPr>
          <w:rFonts w:cs="Times New Roman"/>
          <w:b/>
          <w:bCs w:val="0"/>
        </w:rPr>
        <w:t xml:space="preserve">Read: Jane </w:t>
      </w:r>
      <w:proofErr w:type="spellStart"/>
      <w:r w:rsidRPr="00FA53AF">
        <w:rPr>
          <w:rFonts w:cs="Times New Roman"/>
          <w:b/>
          <w:bCs w:val="0"/>
        </w:rPr>
        <w:t>Waldfogel</w:t>
      </w:r>
      <w:proofErr w:type="spellEnd"/>
      <w:r w:rsidRPr="00FA53AF">
        <w:rPr>
          <w:rFonts w:cs="Times New Roman"/>
          <w:b/>
          <w:bCs w:val="0"/>
        </w:rPr>
        <w:t>. “SSN Key Findings: New Measures Reveal the True Impact of</w:t>
      </w:r>
      <w:r w:rsidRPr="00FA53AF">
        <w:rPr>
          <w:rFonts w:cs="Times New Roman"/>
          <w:b/>
          <w:bCs w:val="0"/>
        </w:rPr>
        <w:tab/>
        <w:t xml:space="preserve"> America’s Anti-Poverty Programs.” Scholars.org, Scholars Strategy Network, April 2014.</w:t>
      </w:r>
    </w:p>
    <w:p w14:paraId="78ABD0A0" w14:textId="3D5BF4A5" w:rsidR="00FA53AF" w:rsidRPr="00FA53AF" w:rsidRDefault="00FA53AF" w:rsidP="00FA53AF">
      <w:pPr>
        <w:ind w:left="2160"/>
        <w:rPr>
          <w:rFonts w:cs="Times New Roman"/>
          <w:b/>
          <w:bCs w:val="0"/>
        </w:rPr>
      </w:pPr>
      <w:r w:rsidRPr="00FA53AF">
        <w:rPr>
          <w:rFonts w:cs="Times New Roman"/>
          <w:b/>
          <w:bCs w:val="0"/>
        </w:rPr>
        <w:t>Read: Douglas S. Massey. “Residential Segregation is the Linchpin of Racial Stratification.” City and Community 15(1) (March 2016): 4-7.</w:t>
      </w:r>
    </w:p>
    <w:p w14:paraId="284481F8" w14:textId="320E9B80" w:rsidR="00FA53AF" w:rsidRDefault="00FA53AF" w:rsidP="00FA53AF">
      <w:pPr>
        <w:ind w:left="2160"/>
        <w:rPr>
          <w:rFonts w:cs="Times New Roman"/>
          <w:b/>
          <w:bCs w:val="0"/>
        </w:rPr>
      </w:pPr>
      <w:r w:rsidRPr="00FA53AF">
        <w:rPr>
          <w:rFonts w:cs="Times New Roman"/>
          <w:b/>
          <w:bCs w:val="0"/>
        </w:rPr>
        <w:t>Read: Suzanne Mettler. “SSN Key Findings: How U.S. Higher Education Promotes Inequality and What Can Be Done to Broaden Access and Graduation.” Scholars.org, Scholars Strategy Network, October 2014.</w:t>
      </w:r>
    </w:p>
    <w:p w14:paraId="6F7A54A8" w14:textId="77777777" w:rsidR="00FA53AF" w:rsidRDefault="00FA53AF" w:rsidP="00FA53AF">
      <w:pPr>
        <w:rPr>
          <w:rFonts w:cs="Times New Roman"/>
        </w:rPr>
      </w:pPr>
    </w:p>
    <w:p w14:paraId="23003B95" w14:textId="343AECA0" w:rsidR="00FA53AF" w:rsidRDefault="00FA53AF" w:rsidP="00FA53AF">
      <w:pPr>
        <w:rPr>
          <w:rFonts w:cs="Times New Roman"/>
        </w:rPr>
      </w:pPr>
      <w:r>
        <w:rPr>
          <w:rFonts w:cs="Times New Roman"/>
        </w:rPr>
        <w:t>Week 12:</w:t>
      </w:r>
      <w:r>
        <w:rPr>
          <w:rFonts w:cs="Times New Roman"/>
        </w:rPr>
        <w:tab/>
        <w:t>10/28</w:t>
      </w:r>
      <w:r>
        <w:rPr>
          <w:rFonts w:cs="Times New Roman"/>
        </w:rPr>
        <w:tab/>
        <w:t>Institutions of Elections</w:t>
      </w:r>
    </w:p>
    <w:p w14:paraId="042D5660" w14:textId="120852D5" w:rsidR="00FA53AF" w:rsidRDefault="00FA53AF" w:rsidP="00FA53AF">
      <w:pPr>
        <w:ind w:left="2160"/>
        <w:rPr>
          <w:rFonts w:cs="Times New Roman"/>
          <w:b/>
          <w:bCs w:val="0"/>
        </w:rPr>
      </w:pPr>
      <w:r w:rsidRPr="00FA53AF">
        <w:rPr>
          <w:rFonts w:cs="Times New Roman"/>
          <w:b/>
          <w:bCs w:val="0"/>
        </w:rPr>
        <w:t>Read: Baumgartner, Frank R., and Beth L. Leech. 2001. “Interest Niches and Policy Bandwagons: Patterns of Interest Group Involvement in National Politics.” Journal of Politics 63 (4): 1191-1213.</w:t>
      </w:r>
    </w:p>
    <w:p w14:paraId="171CD1E3" w14:textId="35A323F0" w:rsidR="00FA53AF" w:rsidRDefault="00FA53AF" w:rsidP="00FA53AF">
      <w:pPr>
        <w:rPr>
          <w:rFonts w:cs="Times New Roman"/>
        </w:rPr>
      </w:pPr>
      <w:r>
        <w:rPr>
          <w:rFonts w:cs="Times New Roman"/>
        </w:rPr>
        <w:tab/>
      </w:r>
      <w:r>
        <w:rPr>
          <w:rFonts w:cs="Times New Roman"/>
        </w:rPr>
        <w:tab/>
        <w:t>10/30</w:t>
      </w:r>
      <w:r>
        <w:rPr>
          <w:rFonts w:cs="Times New Roman"/>
        </w:rPr>
        <w:tab/>
        <w:t>How Voters Decide</w:t>
      </w:r>
    </w:p>
    <w:p w14:paraId="62422E4E" w14:textId="3A1A67E4" w:rsidR="00FA53AF" w:rsidRDefault="00FA53AF" w:rsidP="00616014">
      <w:pPr>
        <w:ind w:left="1440" w:firstLine="720"/>
        <w:rPr>
          <w:rFonts w:cs="Times New Roman"/>
          <w:b/>
          <w:bCs w:val="0"/>
        </w:rPr>
      </w:pPr>
      <w:r w:rsidRPr="00616014">
        <w:rPr>
          <w:rFonts w:cs="Times New Roman"/>
          <w:b/>
          <w:bCs w:val="0"/>
        </w:rPr>
        <w:t xml:space="preserve">Read: </w:t>
      </w:r>
      <w:proofErr w:type="spellStart"/>
      <w:r w:rsidR="00616014" w:rsidRPr="00616014">
        <w:rPr>
          <w:rFonts w:cs="Times New Roman"/>
          <w:b/>
          <w:bCs w:val="0"/>
        </w:rPr>
        <w:t>Longres</w:t>
      </w:r>
      <w:proofErr w:type="spellEnd"/>
      <w:r w:rsidR="00616014" w:rsidRPr="00616014">
        <w:rPr>
          <w:rFonts w:cs="Times New Roman"/>
          <w:b/>
          <w:bCs w:val="0"/>
        </w:rPr>
        <w:t xml:space="preserve">, John F. 1982. “Minority Groups: An Interest-group </w:t>
      </w:r>
      <w:r w:rsidR="00616014" w:rsidRPr="00616014">
        <w:rPr>
          <w:rFonts w:cs="Times New Roman"/>
          <w:b/>
          <w:bCs w:val="0"/>
        </w:rPr>
        <w:tab/>
        <w:t>Perspective.” Social Work 27 (1): 7-14.</w:t>
      </w:r>
    </w:p>
    <w:p w14:paraId="450B696E" w14:textId="77777777" w:rsidR="00616014" w:rsidRDefault="00616014" w:rsidP="00616014">
      <w:pPr>
        <w:rPr>
          <w:rFonts w:cs="Times New Roman"/>
          <w:b/>
          <w:bCs w:val="0"/>
        </w:rPr>
      </w:pPr>
    </w:p>
    <w:p w14:paraId="47AFAA5F" w14:textId="5DADB21F" w:rsidR="00616014" w:rsidRDefault="00616014" w:rsidP="00616014">
      <w:pPr>
        <w:rPr>
          <w:rFonts w:cs="Times New Roman"/>
        </w:rPr>
      </w:pPr>
      <w:r>
        <w:rPr>
          <w:rFonts w:cs="Times New Roman"/>
        </w:rPr>
        <w:t>Week 13:</w:t>
      </w:r>
      <w:r>
        <w:rPr>
          <w:rFonts w:cs="Times New Roman"/>
        </w:rPr>
        <w:tab/>
        <w:t>11/4</w:t>
      </w:r>
      <w:r>
        <w:rPr>
          <w:rFonts w:cs="Times New Roman"/>
        </w:rPr>
        <w:tab/>
        <w:t>Campaigns</w:t>
      </w:r>
    </w:p>
    <w:p w14:paraId="214459CB" w14:textId="0ADB3FA5" w:rsidR="00616014" w:rsidRDefault="00616014" w:rsidP="00616014">
      <w:pPr>
        <w:ind w:left="2160"/>
        <w:rPr>
          <w:rFonts w:cs="Times New Roman"/>
          <w:b/>
          <w:bCs w:val="0"/>
        </w:rPr>
      </w:pPr>
      <w:r w:rsidRPr="00616014">
        <w:rPr>
          <w:rFonts w:cs="Times New Roman"/>
          <w:b/>
          <w:bCs w:val="0"/>
        </w:rPr>
        <w:t xml:space="preserve">Read: </w:t>
      </w:r>
      <w:proofErr w:type="spellStart"/>
      <w:r w:rsidRPr="00616014">
        <w:rPr>
          <w:rFonts w:cs="Times New Roman"/>
          <w:b/>
          <w:bCs w:val="0"/>
        </w:rPr>
        <w:t>Strolovitch</w:t>
      </w:r>
      <w:proofErr w:type="spellEnd"/>
      <w:r w:rsidRPr="00616014">
        <w:rPr>
          <w:rFonts w:cs="Times New Roman"/>
          <w:b/>
          <w:bCs w:val="0"/>
        </w:rPr>
        <w:t>, Dara Z. 2006. “Do Interest Groups Represent the Disadvantaged? Advocacy at the Intersections of Race, Class, and Gender.” Journal of Politics 68 (4): 894-910.</w:t>
      </w:r>
    </w:p>
    <w:p w14:paraId="6BCCDC0E" w14:textId="797B63A1" w:rsidR="00616014" w:rsidRDefault="00616014" w:rsidP="00616014">
      <w:pPr>
        <w:rPr>
          <w:rFonts w:cs="Times New Roman"/>
        </w:rPr>
      </w:pPr>
      <w:r>
        <w:rPr>
          <w:rFonts w:cs="Times New Roman"/>
        </w:rPr>
        <w:tab/>
      </w:r>
      <w:r>
        <w:rPr>
          <w:rFonts w:cs="Times New Roman"/>
        </w:rPr>
        <w:tab/>
        <w:t>11/6</w:t>
      </w:r>
      <w:r>
        <w:rPr>
          <w:rFonts w:cs="Times New Roman"/>
        </w:rPr>
        <w:tab/>
        <w:t>Functions of the Parties</w:t>
      </w:r>
    </w:p>
    <w:p w14:paraId="4A90CD7F" w14:textId="30286910" w:rsidR="00616014" w:rsidRDefault="00616014" w:rsidP="00616014">
      <w:pPr>
        <w:ind w:left="2160"/>
        <w:rPr>
          <w:rFonts w:cs="Times New Roman"/>
          <w:b/>
          <w:bCs w:val="0"/>
        </w:rPr>
      </w:pPr>
      <w:r w:rsidRPr="00616014">
        <w:rPr>
          <w:rFonts w:cs="Times New Roman"/>
          <w:b/>
          <w:bCs w:val="0"/>
        </w:rPr>
        <w:t xml:space="preserve">Read: Hill, K. Q. and </w:t>
      </w:r>
      <w:proofErr w:type="spellStart"/>
      <w:r w:rsidRPr="00616014">
        <w:rPr>
          <w:rFonts w:cs="Times New Roman"/>
          <w:b/>
          <w:bCs w:val="0"/>
        </w:rPr>
        <w:t>Leighley</w:t>
      </w:r>
      <w:proofErr w:type="spellEnd"/>
      <w:r w:rsidRPr="00616014">
        <w:rPr>
          <w:rFonts w:cs="Times New Roman"/>
          <w:b/>
          <w:bCs w:val="0"/>
        </w:rPr>
        <w:t>, J. E. (1992). The policy consequences of class bias in state electorates. American Journal of Political Science, 36(2):351–365.</w:t>
      </w:r>
    </w:p>
    <w:p w14:paraId="583F542B" w14:textId="77777777" w:rsidR="00616014" w:rsidRDefault="00616014" w:rsidP="00616014">
      <w:pPr>
        <w:rPr>
          <w:rFonts w:cs="Times New Roman"/>
          <w:b/>
          <w:bCs w:val="0"/>
        </w:rPr>
      </w:pPr>
    </w:p>
    <w:p w14:paraId="08D10792" w14:textId="37EADBA7" w:rsidR="00616014" w:rsidRDefault="00616014" w:rsidP="00616014">
      <w:pPr>
        <w:rPr>
          <w:rFonts w:cs="Times New Roman"/>
        </w:rPr>
      </w:pPr>
      <w:r>
        <w:rPr>
          <w:rFonts w:cs="Times New Roman"/>
        </w:rPr>
        <w:t>Week 14:</w:t>
      </w:r>
      <w:r>
        <w:rPr>
          <w:rFonts w:cs="Times New Roman"/>
        </w:rPr>
        <w:tab/>
      </w:r>
      <w:r w:rsidR="00C349ED">
        <w:rPr>
          <w:rFonts w:cs="Times New Roman"/>
        </w:rPr>
        <w:t>11/11</w:t>
      </w:r>
      <w:r w:rsidR="00C349ED">
        <w:rPr>
          <w:rFonts w:cs="Times New Roman"/>
        </w:rPr>
        <w:tab/>
        <w:t>Party Systems</w:t>
      </w:r>
    </w:p>
    <w:p w14:paraId="475CFE38" w14:textId="3B2EC31C" w:rsidR="00C349ED" w:rsidRDefault="00C349ED" w:rsidP="00C349ED">
      <w:pPr>
        <w:ind w:left="2160"/>
        <w:rPr>
          <w:rFonts w:cs="Times New Roman"/>
          <w:b/>
          <w:bCs w:val="0"/>
        </w:rPr>
      </w:pPr>
      <w:r w:rsidRPr="00C349ED">
        <w:rPr>
          <w:rFonts w:cs="Times New Roman"/>
          <w:b/>
          <w:bCs w:val="0"/>
        </w:rPr>
        <w:t>Read: Griffin, J. D. and Newman, B. (2005). Are voters better represented? Journal of Politics, 67(4):1206–1227.</w:t>
      </w:r>
    </w:p>
    <w:p w14:paraId="6F36C3FB" w14:textId="53B480CA" w:rsidR="00C349ED" w:rsidRDefault="00C349ED" w:rsidP="00C349ED">
      <w:pPr>
        <w:rPr>
          <w:rFonts w:cs="Times New Roman"/>
        </w:rPr>
      </w:pPr>
      <w:r>
        <w:rPr>
          <w:rFonts w:cs="Times New Roman"/>
          <w:b/>
          <w:bCs w:val="0"/>
        </w:rPr>
        <w:tab/>
      </w:r>
      <w:r>
        <w:rPr>
          <w:rFonts w:cs="Times New Roman"/>
        </w:rPr>
        <w:tab/>
        <w:t>11/13</w:t>
      </w:r>
      <w:r>
        <w:rPr>
          <w:rFonts w:cs="Times New Roman"/>
        </w:rPr>
        <w:tab/>
        <w:t>Groups and Interests</w:t>
      </w:r>
    </w:p>
    <w:p w14:paraId="5DB726AD" w14:textId="2DF97809" w:rsidR="00C349ED" w:rsidRDefault="00C349ED" w:rsidP="00A02D4D">
      <w:pPr>
        <w:ind w:left="2160"/>
        <w:rPr>
          <w:rFonts w:cs="Times New Roman"/>
          <w:b/>
          <w:bCs w:val="0"/>
        </w:rPr>
      </w:pPr>
      <w:r w:rsidRPr="00A02D4D">
        <w:rPr>
          <w:rFonts w:cs="Times New Roman"/>
          <w:b/>
          <w:bCs w:val="0"/>
        </w:rPr>
        <w:t xml:space="preserve">Read: </w:t>
      </w:r>
      <w:r w:rsidR="00A02D4D" w:rsidRPr="00A02D4D">
        <w:rPr>
          <w:rFonts w:cs="Times New Roman"/>
          <w:b/>
          <w:bCs w:val="0"/>
        </w:rPr>
        <w:t>Allard, Nicholas W. 2008. Lobbying is an honorable profession,” Stanford Law Policy Review 19(1), 23-68.</w:t>
      </w:r>
    </w:p>
    <w:p w14:paraId="56C77F6C" w14:textId="77777777" w:rsidR="00A02D4D" w:rsidRDefault="00A02D4D" w:rsidP="00A02D4D">
      <w:pPr>
        <w:rPr>
          <w:rFonts w:cs="Times New Roman"/>
          <w:b/>
          <w:bCs w:val="0"/>
        </w:rPr>
      </w:pPr>
    </w:p>
    <w:p w14:paraId="7487D655" w14:textId="3A7F1808" w:rsidR="00A02D4D" w:rsidRDefault="00A02D4D" w:rsidP="00A02D4D">
      <w:pPr>
        <w:rPr>
          <w:rFonts w:cs="Times New Roman"/>
          <w:b/>
          <w:bCs w:val="0"/>
        </w:rPr>
      </w:pPr>
      <w:r>
        <w:rPr>
          <w:rFonts w:cs="Times New Roman"/>
        </w:rPr>
        <w:t>Week 15:</w:t>
      </w:r>
      <w:r>
        <w:rPr>
          <w:rFonts w:cs="Times New Roman"/>
        </w:rPr>
        <w:tab/>
        <w:t>11/18</w:t>
      </w:r>
      <w:r>
        <w:rPr>
          <w:rFonts w:cs="Times New Roman"/>
        </w:rPr>
        <w:tab/>
      </w:r>
      <w:r>
        <w:rPr>
          <w:rFonts w:cs="Times New Roman"/>
          <w:b/>
          <w:bCs w:val="0"/>
        </w:rPr>
        <w:t>Essay #3 Due</w:t>
      </w:r>
    </w:p>
    <w:p w14:paraId="2C6BA924" w14:textId="7E1DFAC8" w:rsidR="00A02D4D" w:rsidRDefault="00A02D4D" w:rsidP="00A02D4D">
      <w:pPr>
        <w:rPr>
          <w:rFonts w:cs="Times New Roman"/>
        </w:rPr>
      </w:pPr>
      <w:r>
        <w:rPr>
          <w:rFonts w:cs="Times New Roman"/>
          <w:b/>
          <w:bCs w:val="0"/>
        </w:rPr>
        <w:tab/>
      </w:r>
      <w:r>
        <w:rPr>
          <w:rFonts w:cs="Times New Roman"/>
          <w:b/>
          <w:bCs w:val="0"/>
        </w:rPr>
        <w:tab/>
      </w:r>
      <w:r>
        <w:rPr>
          <w:rFonts w:cs="Times New Roman"/>
        </w:rPr>
        <w:t>11/20</w:t>
      </w:r>
      <w:r>
        <w:rPr>
          <w:rFonts w:cs="Times New Roman"/>
        </w:rPr>
        <w:tab/>
        <w:t>Economic Policy</w:t>
      </w:r>
    </w:p>
    <w:p w14:paraId="0453F286" w14:textId="64248897" w:rsidR="00A02D4D" w:rsidRDefault="00A02D4D" w:rsidP="00A02D4D">
      <w:pPr>
        <w:ind w:left="2160"/>
        <w:rPr>
          <w:rFonts w:cs="Times New Roman"/>
        </w:rPr>
      </w:pPr>
      <w:r w:rsidRPr="00A02D4D">
        <w:rPr>
          <w:rFonts w:cs="Times New Roman"/>
          <w:b/>
          <w:bCs w:val="0"/>
        </w:rPr>
        <w:t xml:space="preserve">Read: Suzanne Mettler and Joe </w:t>
      </w:r>
      <w:proofErr w:type="spellStart"/>
      <w:r w:rsidRPr="00A02D4D">
        <w:rPr>
          <w:rFonts w:cs="Times New Roman"/>
          <w:b/>
          <w:bCs w:val="0"/>
        </w:rPr>
        <w:t>Soss</w:t>
      </w:r>
      <w:proofErr w:type="spellEnd"/>
      <w:r w:rsidRPr="00A02D4D">
        <w:rPr>
          <w:rFonts w:cs="Times New Roman"/>
          <w:b/>
          <w:bCs w:val="0"/>
        </w:rPr>
        <w:t>. “The Consequences of Public Policy for Democratic Citizenship: Bridging Policy Studies and Mass Politics.” Perspectives on Politics 2(1) (March 2004): 55-73.</w:t>
      </w:r>
    </w:p>
    <w:p w14:paraId="51ACD9BE" w14:textId="77777777" w:rsidR="00A02D4D" w:rsidRDefault="00A02D4D" w:rsidP="00A02D4D">
      <w:pPr>
        <w:rPr>
          <w:rFonts w:cs="Times New Roman"/>
        </w:rPr>
      </w:pPr>
    </w:p>
    <w:p w14:paraId="3F425B37" w14:textId="61F421C0" w:rsidR="00A02D4D" w:rsidRDefault="00A02D4D" w:rsidP="00A02D4D">
      <w:pPr>
        <w:rPr>
          <w:rFonts w:cs="Times New Roman"/>
        </w:rPr>
      </w:pPr>
      <w:r>
        <w:rPr>
          <w:rFonts w:cs="Times New Roman"/>
        </w:rPr>
        <w:lastRenderedPageBreak/>
        <w:t>Week 16:</w:t>
      </w:r>
      <w:r>
        <w:rPr>
          <w:rFonts w:cs="Times New Roman"/>
        </w:rPr>
        <w:tab/>
        <w:t>12/2</w:t>
      </w:r>
      <w:r>
        <w:rPr>
          <w:rFonts w:cs="Times New Roman"/>
        </w:rPr>
        <w:tab/>
        <w:t>Social Policy I</w:t>
      </w:r>
    </w:p>
    <w:p w14:paraId="6B76D80F" w14:textId="3928B96D" w:rsidR="00A02D4D" w:rsidRPr="00A02D4D" w:rsidRDefault="00A02D4D" w:rsidP="00A02D4D">
      <w:pPr>
        <w:ind w:left="2160"/>
        <w:rPr>
          <w:rFonts w:cs="Times New Roman"/>
          <w:b/>
          <w:bCs w:val="0"/>
        </w:rPr>
      </w:pPr>
      <w:r w:rsidRPr="00A02D4D">
        <w:rPr>
          <w:rFonts w:cs="Times New Roman"/>
          <w:b/>
          <w:bCs w:val="0"/>
        </w:rPr>
        <w:t>Read: Andrea Louise Campbell. “SSN Key Findings: How Social Security Encourages Older Americans to be Active Citizens.” Scholars.org, Scholars Strategy Network, May 2012.</w:t>
      </w:r>
    </w:p>
    <w:p w14:paraId="3FCA6AAF" w14:textId="2C2D40C0" w:rsidR="00A02D4D" w:rsidRDefault="00A02D4D" w:rsidP="00A02D4D">
      <w:pPr>
        <w:ind w:left="2160"/>
        <w:rPr>
          <w:rFonts w:cs="Times New Roman"/>
          <w:b/>
          <w:bCs w:val="0"/>
        </w:rPr>
      </w:pPr>
      <w:r w:rsidRPr="00A02D4D">
        <w:rPr>
          <w:rFonts w:cs="Times New Roman"/>
          <w:b/>
          <w:bCs w:val="0"/>
        </w:rPr>
        <w:t>Read: Alexander Hertel-Fernandez. “Policy Feedback as Political Weapon: Conservative Advocacy and the Demobilization of the Public Sector Movement.” Perspectives on Politics 16(2) (June 2018), 364-379.</w:t>
      </w:r>
    </w:p>
    <w:p w14:paraId="7B78D9FE" w14:textId="12872319" w:rsidR="00A02D4D" w:rsidRDefault="00A02D4D" w:rsidP="00A02D4D">
      <w:pPr>
        <w:rPr>
          <w:rFonts w:cs="Times New Roman"/>
        </w:rPr>
      </w:pPr>
      <w:r>
        <w:rPr>
          <w:rFonts w:cs="Times New Roman"/>
          <w:b/>
          <w:bCs w:val="0"/>
        </w:rPr>
        <w:tab/>
      </w:r>
      <w:r>
        <w:rPr>
          <w:rFonts w:cs="Times New Roman"/>
          <w:b/>
          <w:bCs w:val="0"/>
        </w:rPr>
        <w:tab/>
      </w:r>
      <w:r>
        <w:rPr>
          <w:rFonts w:cs="Times New Roman"/>
        </w:rPr>
        <w:t>12/4</w:t>
      </w:r>
      <w:r>
        <w:rPr>
          <w:rFonts w:cs="Times New Roman"/>
        </w:rPr>
        <w:tab/>
        <w:t>Social Policy II</w:t>
      </w:r>
    </w:p>
    <w:p w14:paraId="50663432" w14:textId="32CE1C87" w:rsidR="00A02D4D" w:rsidRDefault="00A02D4D" w:rsidP="00A02D4D">
      <w:pPr>
        <w:ind w:left="2160"/>
        <w:rPr>
          <w:rFonts w:cs="Times New Roman"/>
          <w:b/>
          <w:bCs w:val="0"/>
        </w:rPr>
      </w:pPr>
      <w:r w:rsidRPr="00A02D4D">
        <w:rPr>
          <w:rFonts w:cs="Times New Roman"/>
          <w:b/>
          <w:bCs w:val="0"/>
        </w:rPr>
        <w:t>Read: Andrea Louise Campbell. “America the Undertaxed: U.S. Fiscal Policy in Perspective.” Foreign Affairs 91(5) (September-October 2012): 99-112.</w:t>
      </w:r>
    </w:p>
    <w:p w14:paraId="5234E991" w14:textId="77777777" w:rsidR="00A02D4D" w:rsidRDefault="00A02D4D" w:rsidP="00A02D4D">
      <w:pPr>
        <w:rPr>
          <w:rFonts w:cs="Times New Roman"/>
          <w:b/>
          <w:bCs w:val="0"/>
        </w:rPr>
      </w:pPr>
    </w:p>
    <w:p w14:paraId="0A4119C0" w14:textId="1D996C7E" w:rsidR="00A02D4D" w:rsidRDefault="00A02D4D" w:rsidP="00A02D4D">
      <w:pPr>
        <w:rPr>
          <w:rFonts w:cs="Times New Roman"/>
        </w:rPr>
      </w:pPr>
      <w:r>
        <w:rPr>
          <w:rFonts w:cs="Times New Roman"/>
        </w:rPr>
        <w:t>Week 17:</w:t>
      </w:r>
      <w:r>
        <w:rPr>
          <w:rFonts w:cs="Times New Roman"/>
        </w:rPr>
        <w:tab/>
        <w:t>12/9</w:t>
      </w:r>
      <w:r>
        <w:rPr>
          <w:rFonts w:cs="Times New Roman"/>
        </w:rPr>
        <w:tab/>
        <w:t>Who Makes Foreign Policy?</w:t>
      </w:r>
    </w:p>
    <w:p w14:paraId="3C55309F" w14:textId="45E39817" w:rsidR="00A02D4D" w:rsidRPr="00A02D4D" w:rsidRDefault="00A02D4D" w:rsidP="00A02D4D">
      <w:pPr>
        <w:ind w:left="2160"/>
        <w:rPr>
          <w:rFonts w:cs="Times New Roman"/>
          <w:b/>
          <w:bCs w:val="0"/>
        </w:rPr>
      </w:pPr>
      <w:r w:rsidRPr="00A02D4D">
        <w:rPr>
          <w:rFonts w:cs="Times New Roman"/>
          <w:b/>
          <w:bCs w:val="0"/>
        </w:rPr>
        <w:t xml:space="preserve">Read: Richter, B. K., </w:t>
      </w:r>
      <w:proofErr w:type="spellStart"/>
      <w:r w:rsidRPr="00A02D4D">
        <w:rPr>
          <w:rFonts w:cs="Times New Roman"/>
          <w:b/>
          <w:bCs w:val="0"/>
        </w:rPr>
        <w:t>Samphantharak</w:t>
      </w:r>
      <w:proofErr w:type="spellEnd"/>
      <w:r w:rsidRPr="00A02D4D">
        <w:rPr>
          <w:rFonts w:cs="Times New Roman"/>
          <w:b/>
          <w:bCs w:val="0"/>
        </w:rPr>
        <w:t>, K., and Timmons, J. F. (2009). Lobbying and taxes. American Journal of Political Science, 53(4):893–909.</w:t>
      </w:r>
    </w:p>
    <w:p w14:paraId="297B21E9" w14:textId="77777777" w:rsidR="00A02D4D" w:rsidRDefault="00A02D4D">
      <w:pPr>
        <w:ind w:left="2160"/>
        <w:rPr>
          <w:rFonts w:cs="Times New Roman"/>
          <w:b/>
          <w:bCs w:val="0"/>
        </w:rPr>
      </w:pPr>
    </w:p>
    <w:p w14:paraId="293B1A6C" w14:textId="1BC2A38C" w:rsidR="00A02D4D" w:rsidRDefault="00A02D4D" w:rsidP="00A02D4D">
      <w:pPr>
        <w:rPr>
          <w:rFonts w:cs="Times New Roman"/>
        </w:rPr>
      </w:pPr>
      <w:r>
        <w:rPr>
          <w:rFonts w:cs="Times New Roman"/>
          <w:b/>
          <w:bCs w:val="0"/>
        </w:rPr>
        <w:tab/>
      </w:r>
      <w:r>
        <w:rPr>
          <w:rFonts w:cs="Times New Roman"/>
          <w:b/>
          <w:bCs w:val="0"/>
        </w:rPr>
        <w:tab/>
      </w:r>
      <w:r>
        <w:rPr>
          <w:rFonts w:cs="Times New Roman"/>
        </w:rPr>
        <w:t>12/11</w:t>
      </w:r>
      <w:r>
        <w:rPr>
          <w:rFonts w:cs="Times New Roman"/>
        </w:rPr>
        <w:tab/>
        <w:t>The Instruments of Foreign Policy</w:t>
      </w:r>
    </w:p>
    <w:p w14:paraId="14E4FCCB" w14:textId="0E208909" w:rsidR="00A02D4D" w:rsidRDefault="00A02D4D" w:rsidP="00A02D4D">
      <w:pPr>
        <w:ind w:left="2160"/>
        <w:rPr>
          <w:rFonts w:cs="Times New Roman"/>
          <w:b/>
          <w:bCs w:val="0"/>
        </w:rPr>
      </w:pPr>
      <w:r w:rsidRPr="00A02D4D">
        <w:rPr>
          <w:rFonts w:cs="Times New Roman"/>
          <w:b/>
          <w:bCs w:val="0"/>
        </w:rPr>
        <w:t xml:space="preserve">Read: </w:t>
      </w:r>
      <w:proofErr w:type="spellStart"/>
      <w:r w:rsidRPr="00A02D4D">
        <w:rPr>
          <w:rFonts w:cs="Times New Roman"/>
          <w:b/>
          <w:bCs w:val="0"/>
        </w:rPr>
        <w:t>Faricy</w:t>
      </w:r>
      <w:proofErr w:type="spellEnd"/>
      <w:r w:rsidRPr="00A02D4D">
        <w:rPr>
          <w:rFonts w:cs="Times New Roman"/>
          <w:b/>
          <w:bCs w:val="0"/>
        </w:rPr>
        <w:t xml:space="preserve">, C. (2011). The politics of social policy in </w:t>
      </w:r>
      <w:proofErr w:type="spellStart"/>
      <w:r w:rsidRPr="00A02D4D">
        <w:rPr>
          <w:rFonts w:cs="Times New Roman"/>
          <w:b/>
          <w:bCs w:val="0"/>
        </w:rPr>
        <w:t>america</w:t>
      </w:r>
      <w:proofErr w:type="spellEnd"/>
      <w:r w:rsidRPr="00A02D4D">
        <w:rPr>
          <w:rFonts w:cs="Times New Roman"/>
          <w:b/>
          <w:bCs w:val="0"/>
        </w:rPr>
        <w:t>: The causes and effects of indirect versus direct social spending. Journal of Politics, 73(01):74–83.</w:t>
      </w:r>
    </w:p>
    <w:p w14:paraId="57AF9A26" w14:textId="77777777" w:rsidR="00A02D4D" w:rsidRDefault="00A02D4D" w:rsidP="00A02D4D">
      <w:pPr>
        <w:rPr>
          <w:rFonts w:cs="Times New Roman"/>
        </w:rPr>
      </w:pPr>
    </w:p>
    <w:p w14:paraId="7B4AEEA6" w14:textId="77777777" w:rsidR="00A02D4D" w:rsidRDefault="00A02D4D" w:rsidP="00A02D4D">
      <w:pPr>
        <w:rPr>
          <w:rFonts w:cs="Times New Roman"/>
          <w:b/>
          <w:bCs w:val="0"/>
        </w:rPr>
      </w:pPr>
      <w:r>
        <w:rPr>
          <w:rFonts w:cs="Times New Roman"/>
        </w:rPr>
        <w:t>Week 18:</w:t>
      </w:r>
      <w:r>
        <w:rPr>
          <w:rFonts w:cs="Times New Roman"/>
        </w:rPr>
        <w:tab/>
        <w:t>TBA</w:t>
      </w:r>
      <w:r>
        <w:rPr>
          <w:rFonts w:cs="Times New Roman"/>
        </w:rPr>
        <w:tab/>
      </w:r>
      <w:r>
        <w:rPr>
          <w:rFonts w:cs="Times New Roman"/>
          <w:b/>
          <w:bCs w:val="0"/>
        </w:rPr>
        <w:t xml:space="preserve">Essay #4 Due (Note: This will be due on the day the history and </w:t>
      </w:r>
    </w:p>
    <w:p w14:paraId="1825416A" w14:textId="31A0A79D" w:rsidR="00A02D4D" w:rsidRDefault="00A02D4D" w:rsidP="00A02D4D">
      <w:pPr>
        <w:ind w:left="1440" w:firstLine="720"/>
        <w:rPr>
          <w:rFonts w:cs="Times New Roman"/>
          <w:b/>
          <w:bCs w:val="0"/>
        </w:rPr>
      </w:pPr>
      <w:r>
        <w:rPr>
          <w:rFonts w:cs="Times New Roman"/>
          <w:b/>
          <w:bCs w:val="0"/>
        </w:rPr>
        <w:t>economics courses are scheduled to take their final.)</w:t>
      </w:r>
    </w:p>
    <w:p w14:paraId="7ED55B28" w14:textId="77777777" w:rsidR="00A02D4D" w:rsidRPr="00A02D4D" w:rsidRDefault="00A02D4D" w:rsidP="00A02D4D">
      <w:pPr>
        <w:rPr>
          <w:rFonts w:cs="Times New Roman"/>
          <w:b/>
          <w:bCs w:val="0"/>
        </w:rPr>
      </w:pPr>
    </w:p>
    <w:sectPr w:rsidR="00A02D4D" w:rsidRPr="00A02D4D" w:rsidSect="00E14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16C"/>
    <w:multiLevelType w:val="hybridMultilevel"/>
    <w:tmpl w:val="A0B61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0259C"/>
    <w:multiLevelType w:val="hybridMultilevel"/>
    <w:tmpl w:val="E01C5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16B42"/>
    <w:multiLevelType w:val="hybridMultilevel"/>
    <w:tmpl w:val="0AD036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71727"/>
    <w:multiLevelType w:val="hybridMultilevel"/>
    <w:tmpl w:val="47A28588"/>
    <w:lvl w:ilvl="0" w:tplc="B8F40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69"/>
    <w:rsid w:val="00036386"/>
    <w:rsid w:val="000472C4"/>
    <w:rsid w:val="000C1AF1"/>
    <w:rsid w:val="000C65B1"/>
    <w:rsid w:val="00140C53"/>
    <w:rsid w:val="00180DDB"/>
    <w:rsid w:val="00185C41"/>
    <w:rsid w:val="001B6C49"/>
    <w:rsid w:val="001C4ED6"/>
    <w:rsid w:val="001F44AC"/>
    <w:rsid w:val="00221031"/>
    <w:rsid w:val="002872F3"/>
    <w:rsid w:val="002B30C8"/>
    <w:rsid w:val="002C4DE1"/>
    <w:rsid w:val="002F722E"/>
    <w:rsid w:val="00352BD0"/>
    <w:rsid w:val="003D2A69"/>
    <w:rsid w:val="003F766D"/>
    <w:rsid w:val="00470A7B"/>
    <w:rsid w:val="004738F3"/>
    <w:rsid w:val="005006A1"/>
    <w:rsid w:val="005A4E8E"/>
    <w:rsid w:val="005D501E"/>
    <w:rsid w:val="005F39A0"/>
    <w:rsid w:val="006034EC"/>
    <w:rsid w:val="00616014"/>
    <w:rsid w:val="00646503"/>
    <w:rsid w:val="00673095"/>
    <w:rsid w:val="006E2629"/>
    <w:rsid w:val="00767091"/>
    <w:rsid w:val="007800B4"/>
    <w:rsid w:val="00783632"/>
    <w:rsid w:val="007847D3"/>
    <w:rsid w:val="00816BE3"/>
    <w:rsid w:val="00863204"/>
    <w:rsid w:val="008C15C1"/>
    <w:rsid w:val="008F2CFB"/>
    <w:rsid w:val="0090080D"/>
    <w:rsid w:val="009741FC"/>
    <w:rsid w:val="009A561C"/>
    <w:rsid w:val="009B733A"/>
    <w:rsid w:val="00A02D4D"/>
    <w:rsid w:val="00A46088"/>
    <w:rsid w:val="00AA0FC3"/>
    <w:rsid w:val="00AE0E43"/>
    <w:rsid w:val="00AE5E1F"/>
    <w:rsid w:val="00AE7969"/>
    <w:rsid w:val="00B4012E"/>
    <w:rsid w:val="00B82837"/>
    <w:rsid w:val="00BA329D"/>
    <w:rsid w:val="00BC3EAC"/>
    <w:rsid w:val="00C349ED"/>
    <w:rsid w:val="00C475E8"/>
    <w:rsid w:val="00CC0E0E"/>
    <w:rsid w:val="00CD65C6"/>
    <w:rsid w:val="00D37C8C"/>
    <w:rsid w:val="00D95C0C"/>
    <w:rsid w:val="00DC0117"/>
    <w:rsid w:val="00DC560C"/>
    <w:rsid w:val="00E14DBE"/>
    <w:rsid w:val="00E2644A"/>
    <w:rsid w:val="00E7657A"/>
    <w:rsid w:val="00EB052B"/>
    <w:rsid w:val="00F230C2"/>
    <w:rsid w:val="00F66651"/>
    <w:rsid w:val="00FA5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D2E6"/>
  <w15:chartTrackingRefBased/>
  <w15:docId w15:val="{E77B0EF3-ACC9-C346-8AA4-77994722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b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40C53"/>
    <w:pPr>
      <w:spacing w:before="100" w:beforeAutospacing="1" w:after="100" w:afterAutospacing="1"/>
      <w:outlineLvl w:val="1"/>
    </w:pPr>
    <w:rPr>
      <w:rFonts w:eastAsia="Times New Roman" w:cs="Times New Roman"/>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A69"/>
    <w:rPr>
      <w:color w:val="0563C1" w:themeColor="hyperlink"/>
      <w:u w:val="single"/>
    </w:rPr>
  </w:style>
  <w:style w:type="character" w:styleId="UnresolvedMention">
    <w:name w:val="Unresolved Mention"/>
    <w:basedOn w:val="DefaultParagraphFont"/>
    <w:uiPriority w:val="99"/>
    <w:semiHidden/>
    <w:unhideWhenUsed/>
    <w:rsid w:val="003D2A69"/>
    <w:rPr>
      <w:color w:val="605E5C"/>
      <w:shd w:val="clear" w:color="auto" w:fill="E1DFDD"/>
    </w:rPr>
  </w:style>
  <w:style w:type="paragraph" w:styleId="ListParagraph">
    <w:name w:val="List Paragraph"/>
    <w:basedOn w:val="Normal"/>
    <w:uiPriority w:val="34"/>
    <w:qFormat/>
    <w:rsid w:val="002B30C8"/>
    <w:pPr>
      <w:ind w:left="720"/>
      <w:contextualSpacing/>
    </w:pPr>
  </w:style>
  <w:style w:type="paragraph" w:styleId="NormalWeb">
    <w:name w:val="Normal (Web)"/>
    <w:basedOn w:val="Normal"/>
    <w:uiPriority w:val="99"/>
    <w:unhideWhenUsed/>
    <w:rsid w:val="005006A1"/>
    <w:pPr>
      <w:spacing w:before="100" w:beforeAutospacing="1" w:after="100" w:afterAutospacing="1"/>
    </w:pPr>
    <w:rPr>
      <w:rFonts w:eastAsia="Times New Roman" w:cs="Times New Roman"/>
      <w:bCs w:val="0"/>
    </w:rPr>
  </w:style>
  <w:style w:type="table" w:styleId="TableGrid">
    <w:name w:val="Table Grid"/>
    <w:basedOn w:val="TableNormal"/>
    <w:uiPriority w:val="39"/>
    <w:rsid w:val="000C1AF1"/>
    <w:rPr>
      <w:rFonts w:asciiTheme="minorHAnsi" w:hAnsiTheme="minorHAnsi" w:cstheme="minorBidi"/>
      <w:b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65B1"/>
    <w:rPr>
      <w:color w:val="954F72" w:themeColor="followedHyperlink"/>
      <w:u w:val="single"/>
    </w:rPr>
  </w:style>
  <w:style w:type="character" w:customStyle="1" w:styleId="Heading2Char">
    <w:name w:val="Heading 2 Char"/>
    <w:basedOn w:val="DefaultParagraphFont"/>
    <w:link w:val="Heading2"/>
    <w:uiPriority w:val="9"/>
    <w:rsid w:val="00140C53"/>
    <w:rPr>
      <w:rFonts w:eastAsia="Times New Roman" w:cs="Times New Roman"/>
      <w:b/>
      <w:sz w:val="36"/>
      <w:szCs w:val="36"/>
    </w:rPr>
  </w:style>
  <w:style w:type="character" w:styleId="Emphasis">
    <w:name w:val="Emphasis"/>
    <w:basedOn w:val="DefaultParagraphFont"/>
    <w:uiPriority w:val="20"/>
    <w:qFormat/>
    <w:rsid w:val="00140C53"/>
    <w:rPr>
      <w:i/>
      <w:iCs/>
    </w:rPr>
  </w:style>
  <w:style w:type="paragraph" w:customStyle="1" w:styleId="xmsolistparagraph">
    <w:name w:val="x_msolistparagraph"/>
    <w:basedOn w:val="Normal"/>
    <w:rsid w:val="00C475E8"/>
    <w:pPr>
      <w:spacing w:before="100" w:beforeAutospacing="1" w:after="100" w:afterAutospacing="1"/>
    </w:pPr>
    <w:rPr>
      <w:rFonts w:eastAsia="Times New Roman" w:cs="Times New Roman"/>
      <w:bCs w:val="0"/>
    </w:rPr>
  </w:style>
  <w:style w:type="paragraph" w:customStyle="1" w:styleId="xmsonormal">
    <w:name w:val="x_msonormal"/>
    <w:basedOn w:val="Normal"/>
    <w:rsid w:val="00C475E8"/>
    <w:pPr>
      <w:spacing w:before="100" w:beforeAutospacing="1" w:after="100" w:afterAutospacing="1"/>
    </w:pPr>
    <w:rPr>
      <w:rFonts w:eastAsia="Times New Roman" w:cs="Times New Roman"/>
      <w:bCs w:val="0"/>
    </w:rPr>
  </w:style>
  <w:style w:type="character" w:customStyle="1" w:styleId="apple-converted-space">
    <w:name w:val="apple-converted-space"/>
    <w:basedOn w:val="DefaultParagraphFont"/>
    <w:rsid w:val="009741FC"/>
  </w:style>
  <w:style w:type="paragraph" w:styleId="BalloonText">
    <w:name w:val="Balloon Text"/>
    <w:basedOn w:val="Normal"/>
    <w:link w:val="BalloonTextChar"/>
    <w:uiPriority w:val="99"/>
    <w:semiHidden/>
    <w:unhideWhenUsed/>
    <w:rsid w:val="005D50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0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2125">
      <w:bodyDiv w:val="1"/>
      <w:marLeft w:val="0"/>
      <w:marRight w:val="0"/>
      <w:marTop w:val="0"/>
      <w:marBottom w:val="0"/>
      <w:divBdr>
        <w:top w:val="none" w:sz="0" w:space="0" w:color="auto"/>
        <w:left w:val="none" w:sz="0" w:space="0" w:color="auto"/>
        <w:bottom w:val="none" w:sz="0" w:space="0" w:color="auto"/>
        <w:right w:val="none" w:sz="0" w:space="0" w:color="auto"/>
      </w:divBdr>
    </w:div>
    <w:div w:id="198859050">
      <w:bodyDiv w:val="1"/>
      <w:marLeft w:val="0"/>
      <w:marRight w:val="0"/>
      <w:marTop w:val="0"/>
      <w:marBottom w:val="0"/>
      <w:divBdr>
        <w:top w:val="none" w:sz="0" w:space="0" w:color="auto"/>
        <w:left w:val="none" w:sz="0" w:space="0" w:color="auto"/>
        <w:bottom w:val="none" w:sz="0" w:space="0" w:color="auto"/>
        <w:right w:val="none" w:sz="0" w:space="0" w:color="auto"/>
      </w:divBdr>
    </w:div>
    <w:div w:id="359210967">
      <w:bodyDiv w:val="1"/>
      <w:marLeft w:val="0"/>
      <w:marRight w:val="0"/>
      <w:marTop w:val="0"/>
      <w:marBottom w:val="0"/>
      <w:divBdr>
        <w:top w:val="none" w:sz="0" w:space="0" w:color="auto"/>
        <w:left w:val="none" w:sz="0" w:space="0" w:color="auto"/>
        <w:bottom w:val="none" w:sz="0" w:space="0" w:color="auto"/>
        <w:right w:val="none" w:sz="0" w:space="0" w:color="auto"/>
      </w:divBdr>
    </w:div>
    <w:div w:id="566380520">
      <w:bodyDiv w:val="1"/>
      <w:marLeft w:val="0"/>
      <w:marRight w:val="0"/>
      <w:marTop w:val="0"/>
      <w:marBottom w:val="0"/>
      <w:divBdr>
        <w:top w:val="none" w:sz="0" w:space="0" w:color="auto"/>
        <w:left w:val="none" w:sz="0" w:space="0" w:color="auto"/>
        <w:bottom w:val="none" w:sz="0" w:space="0" w:color="auto"/>
        <w:right w:val="none" w:sz="0" w:space="0" w:color="auto"/>
      </w:divBdr>
    </w:div>
    <w:div w:id="734472037">
      <w:bodyDiv w:val="1"/>
      <w:marLeft w:val="0"/>
      <w:marRight w:val="0"/>
      <w:marTop w:val="0"/>
      <w:marBottom w:val="0"/>
      <w:divBdr>
        <w:top w:val="none" w:sz="0" w:space="0" w:color="auto"/>
        <w:left w:val="none" w:sz="0" w:space="0" w:color="auto"/>
        <w:bottom w:val="none" w:sz="0" w:space="0" w:color="auto"/>
        <w:right w:val="none" w:sz="0" w:space="0" w:color="auto"/>
      </w:divBdr>
    </w:div>
    <w:div w:id="1617322950">
      <w:bodyDiv w:val="1"/>
      <w:marLeft w:val="0"/>
      <w:marRight w:val="0"/>
      <w:marTop w:val="0"/>
      <w:marBottom w:val="0"/>
      <w:divBdr>
        <w:top w:val="none" w:sz="0" w:space="0" w:color="auto"/>
        <w:left w:val="none" w:sz="0" w:space="0" w:color="auto"/>
        <w:bottom w:val="none" w:sz="0" w:space="0" w:color="auto"/>
        <w:right w:val="none" w:sz="0" w:space="0" w:color="auto"/>
      </w:divBdr>
    </w:div>
    <w:div w:id="1653875152">
      <w:bodyDiv w:val="1"/>
      <w:marLeft w:val="0"/>
      <w:marRight w:val="0"/>
      <w:marTop w:val="0"/>
      <w:marBottom w:val="0"/>
      <w:divBdr>
        <w:top w:val="none" w:sz="0" w:space="0" w:color="auto"/>
        <w:left w:val="none" w:sz="0" w:space="0" w:color="auto"/>
        <w:bottom w:val="none" w:sz="0" w:space="0" w:color="auto"/>
        <w:right w:val="none" w:sz="0" w:space="0" w:color="auto"/>
      </w:divBdr>
    </w:div>
    <w:div w:id="1756393781">
      <w:bodyDiv w:val="1"/>
      <w:marLeft w:val="0"/>
      <w:marRight w:val="0"/>
      <w:marTop w:val="0"/>
      <w:marBottom w:val="0"/>
      <w:divBdr>
        <w:top w:val="none" w:sz="0" w:space="0" w:color="auto"/>
        <w:left w:val="none" w:sz="0" w:space="0" w:color="auto"/>
        <w:bottom w:val="none" w:sz="0" w:space="0" w:color="auto"/>
        <w:right w:val="none" w:sz="0" w:space="0" w:color="auto"/>
      </w:divBdr>
    </w:div>
    <w:div w:id="1786851507">
      <w:bodyDiv w:val="1"/>
      <w:marLeft w:val="0"/>
      <w:marRight w:val="0"/>
      <w:marTop w:val="0"/>
      <w:marBottom w:val="0"/>
      <w:divBdr>
        <w:top w:val="none" w:sz="0" w:space="0" w:color="auto"/>
        <w:left w:val="none" w:sz="0" w:space="0" w:color="auto"/>
        <w:bottom w:val="none" w:sz="0" w:space="0" w:color="auto"/>
        <w:right w:val="none" w:sz="0" w:space="0" w:color="auto"/>
      </w:divBdr>
      <w:divsChild>
        <w:div w:id="1394888245">
          <w:marLeft w:val="0"/>
          <w:marRight w:val="0"/>
          <w:marTop w:val="0"/>
          <w:marBottom w:val="0"/>
          <w:divBdr>
            <w:top w:val="none" w:sz="0" w:space="0" w:color="auto"/>
            <w:left w:val="none" w:sz="0" w:space="0" w:color="auto"/>
            <w:bottom w:val="none" w:sz="0" w:space="0" w:color="auto"/>
            <w:right w:val="none" w:sz="0" w:space="0" w:color="auto"/>
          </w:divBdr>
          <w:divsChild>
            <w:div w:id="8345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2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757A34-C685-4B16-953C-BEEE434D0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B825D-A28F-4997-9A8E-7178847D5CED}">
  <ds:schemaRefs>
    <ds:schemaRef ds:uri="http://schemas.microsoft.com/sharepoint/v3/contenttype/forms"/>
  </ds:schemaRefs>
</ds:datastoreItem>
</file>

<file path=customXml/itemProps3.xml><?xml version="1.0" encoding="utf-8"?>
<ds:datastoreItem xmlns:ds="http://schemas.openxmlformats.org/officeDocument/2006/customXml" ds:itemID="{33FB8250-A2B4-48CD-9D56-31DC7EE38CF8}">
  <ds:schemaRefs>
    <ds:schemaRef ds:uri="http://schemas.microsoft.com/office/2006/documentManagement/types"/>
    <ds:schemaRef ds:uri="http://schemas.microsoft.com/office/2006/metadata/properties"/>
    <ds:schemaRef ds:uri="http://purl.org/dc/elements/1.1/"/>
    <ds:schemaRef ds:uri="a4a61e79-2371-4614-ae32-5106ad07b91b"/>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2221</Words>
  <Characters>12666</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Mark</dc:creator>
  <cp:keywords/>
  <dc:description/>
  <cp:lastModifiedBy>Drumm, Renee</cp:lastModifiedBy>
  <cp:revision>2</cp:revision>
  <cp:lastPrinted>2025-08-15T11:51:00Z</cp:lastPrinted>
  <dcterms:created xsi:type="dcterms:W3CDTF">2025-08-15T11:51:00Z</dcterms:created>
  <dcterms:modified xsi:type="dcterms:W3CDTF">2025-08-15T11:51:00Z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