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6" w:rsidRPr="000A1CFC" w:rsidRDefault="000A1CFC" w:rsidP="00E64183">
      <w:pPr>
        <w:pStyle w:val="NoSpacing"/>
        <w:jc w:val="center"/>
        <w:rPr>
          <w:b/>
          <w:sz w:val="24"/>
          <w:szCs w:val="24"/>
        </w:rPr>
      </w:pPr>
      <w:r w:rsidRPr="000A1CFC">
        <w:rPr>
          <w:b/>
          <w:sz w:val="24"/>
          <w:szCs w:val="24"/>
        </w:rPr>
        <w:t>Special Education Referral Process</w:t>
      </w:r>
    </w:p>
    <w:p w:rsidR="00C8075A" w:rsidRDefault="00E64183" w:rsidP="00E6418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Indiana Academy for Science, Mathematics, and Humanities</w:t>
      </w:r>
    </w:p>
    <w:p w:rsidR="00E64183" w:rsidRPr="00E64183" w:rsidRDefault="00E64183" w:rsidP="00E64183">
      <w:pPr>
        <w:pStyle w:val="NoSpacing"/>
        <w:jc w:val="center"/>
        <w:rPr>
          <w:b/>
          <w:sz w:val="24"/>
          <w:szCs w:val="24"/>
        </w:rPr>
      </w:pPr>
    </w:p>
    <w:p w:rsidR="009F3359" w:rsidRDefault="009F3359" w:rsidP="006B79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school or the parent may request a referral for evaluation of a possible educational disability.  The school has 10 instructional days to meet with the parent and determine whether or not the school agrees to pursue the evaluation.</w:t>
      </w:r>
    </w:p>
    <w:p w:rsidR="009F3359" w:rsidRDefault="009F3359" w:rsidP="009F33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request:  Any parent request in writing for an evaluation or for information regarding an evaluation MUST be forwarded to the </w:t>
      </w:r>
      <w:r w:rsidRPr="009F3359">
        <w:rPr>
          <w:sz w:val="24"/>
          <w:szCs w:val="24"/>
        </w:rPr>
        <w:t>Special Education Coordinator (SEC)</w:t>
      </w:r>
      <w:r>
        <w:rPr>
          <w:sz w:val="24"/>
          <w:szCs w:val="24"/>
        </w:rPr>
        <w:t xml:space="preserve"> immediately.  </w:t>
      </w:r>
    </w:p>
    <w:p w:rsidR="00C8075A" w:rsidRPr="009F3359" w:rsidRDefault="009F3359" w:rsidP="009F335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Classroom teacher request:  The teacher begins this process through</w:t>
      </w:r>
      <w:r w:rsidR="00C8075A" w:rsidRPr="009F3359">
        <w:rPr>
          <w:sz w:val="24"/>
          <w:szCs w:val="24"/>
        </w:rPr>
        <w:t xml:space="preserve"> a General Education Intervention Committee (GEIC) meeting to discuss student concerns.  GEIC forms are posted on the Burris website.  The request must include completed Forms 1 and 2.  The referral is submitted to th</w:t>
      </w:r>
      <w:r>
        <w:rPr>
          <w:sz w:val="24"/>
          <w:szCs w:val="24"/>
        </w:rPr>
        <w:t>e SEC</w:t>
      </w:r>
      <w:r w:rsidR="00C8075A" w:rsidRPr="009F3359">
        <w:rPr>
          <w:sz w:val="24"/>
          <w:szCs w:val="24"/>
        </w:rPr>
        <w:t xml:space="preserve">.  As an option, the GEIC committee may </w:t>
      </w:r>
      <w:r>
        <w:rPr>
          <w:sz w:val="24"/>
          <w:szCs w:val="24"/>
        </w:rPr>
        <w:t xml:space="preserve">or may not </w:t>
      </w:r>
      <w:r w:rsidR="00C8075A" w:rsidRPr="009F3359">
        <w:rPr>
          <w:sz w:val="24"/>
          <w:szCs w:val="24"/>
        </w:rPr>
        <w:t>recommend a referral for special education evaluation.</w:t>
      </w:r>
    </w:p>
    <w:p w:rsidR="00C8075A" w:rsidRDefault="00C8075A" w:rsidP="00C8075A">
      <w:pPr>
        <w:pStyle w:val="NoSpacing"/>
        <w:ind w:left="720"/>
        <w:rPr>
          <w:sz w:val="24"/>
          <w:szCs w:val="24"/>
        </w:rPr>
      </w:pPr>
    </w:p>
    <w:p w:rsidR="000A1CFC" w:rsidRDefault="006B791B" w:rsidP="006B79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personnel fill out special education referral form with the parent.  Parent rights are summarized and will be sent by email to the parent.  Signed referral is sent to </w:t>
      </w:r>
      <w:r w:rsidR="00C8075A">
        <w:rPr>
          <w:sz w:val="24"/>
          <w:szCs w:val="24"/>
        </w:rPr>
        <w:t>the SEC.</w:t>
      </w:r>
    </w:p>
    <w:p w:rsidR="006B791B" w:rsidRDefault="006B791B" w:rsidP="006B791B">
      <w:pPr>
        <w:pStyle w:val="NoSpacing"/>
        <w:ind w:left="720"/>
        <w:rPr>
          <w:sz w:val="24"/>
          <w:szCs w:val="24"/>
        </w:rPr>
      </w:pPr>
    </w:p>
    <w:p w:rsidR="00BD6786" w:rsidRDefault="006B791B" w:rsidP="00BD67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 sends referral to potential teachers of record</w:t>
      </w:r>
      <w:r w:rsidR="009F3359">
        <w:rPr>
          <w:sz w:val="24"/>
          <w:szCs w:val="24"/>
        </w:rPr>
        <w:t xml:space="preserve"> (TOR)</w:t>
      </w:r>
      <w:r>
        <w:rPr>
          <w:sz w:val="24"/>
          <w:szCs w:val="24"/>
        </w:rPr>
        <w:t xml:space="preserve"> and to the school psychologist</w:t>
      </w:r>
      <w:r w:rsidR="009F3359">
        <w:rPr>
          <w:sz w:val="24"/>
          <w:szCs w:val="24"/>
        </w:rPr>
        <w:t xml:space="preserve"> and enters referral information in the IIEP tool</w:t>
      </w:r>
      <w:r>
        <w:rPr>
          <w:sz w:val="24"/>
          <w:szCs w:val="24"/>
        </w:rPr>
        <w:t xml:space="preserve">.  </w:t>
      </w:r>
      <w:r w:rsidR="009F3359">
        <w:rPr>
          <w:sz w:val="24"/>
          <w:szCs w:val="24"/>
        </w:rPr>
        <w:t xml:space="preserve">The </w:t>
      </w:r>
      <w:r>
        <w:rPr>
          <w:sz w:val="24"/>
          <w:szCs w:val="24"/>
        </w:rPr>
        <w:t>TOR enters referral information in Power School.</w:t>
      </w:r>
    </w:p>
    <w:p w:rsidR="00BD6786" w:rsidRPr="00BD6786" w:rsidRDefault="00BD6786" w:rsidP="00BD6786">
      <w:pPr>
        <w:pStyle w:val="NoSpacing"/>
        <w:rPr>
          <w:sz w:val="24"/>
          <w:szCs w:val="24"/>
        </w:rPr>
      </w:pPr>
    </w:p>
    <w:p w:rsidR="00BD6786" w:rsidRDefault="00BD6786" w:rsidP="008202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psychologist provides a draft copy of the psychoeducational evaluation report to the SEC ten (10) days prior </w:t>
      </w:r>
      <w:r w:rsidR="00F86080">
        <w:rPr>
          <w:sz w:val="24"/>
          <w:szCs w:val="24"/>
        </w:rPr>
        <w:t xml:space="preserve">to the 50-day timeline due date </w:t>
      </w:r>
      <w:bookmarkStart w:id="0" w:name="_GoBack"/>
      <w:r w:rsidR="00F86080">
        <w:rPr>
          <w:sz w:val="24"/>
          <w:szCs w:val="24"/>
        </w:rPr>
        <w:t>(or 20-day timeline in the case of the student’s failure to respond to evidence-based interventions).</w:t>
      </w:r>
    </w:p>
    <w:bookmarkEnd w:id="0"/>
    <w:p w:rsidR="0082028D" w:rsidRPr="0082028D" w:rsidRDefault="0082028D" w:rsidP="0082028D">
      <w:pPr>
        <w:pStyle w:val="NoSpacing"/>
        <w:rPr>
          <w:sz w:val="24"/>
          <w:szCs w:val="24"/>
        </w:rPr>
      </w:pPr>
    </w:p>
    <w:p w:rsidR="0082028D" w:rsidRDefault="00BD6786" w:rsidP="008202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Within five (5) days of the case conference, the s</w:t>
      </w:r>
      <w:r w:rsidR="0082028D">
        <w:rPr>
          <w:sz w:val="24"/>
          <w:szCs w:val="24"/>
        </w:rPr>
        <w:t>chool psychologist posts</w:t>
      </w:r>
      <w:r>
        <w:rPr>
          <w:sz w:val="24"/>
          <w:szCs w:val="24"/>
        </w:rPr>
        <w:t xml:space="preserve"> the</w:t>
      </w:r>
      <w:r w:rsidR="0082028D">
        <w:rPr>
          <w:sz w:val="24"/>
          <w:szCs w:val="24"/>
        </w:rPr>
        <w:t xml:space="preserve"> evaluation report in the IIEP in the Learning Connection site and notifies the SEC and the TORs.</w:t>
      </w:r>
    </w:p>
    <w:p w:rsidR="0082028D" w:rsidRPr="0082028D" w:rsidRDefault="0082028D" w:rsidP="0082028D">
      <w:pPr>
        <w:pStyle w:val="NoSpacing"/>
        <w:rPr>
          <w:sz w:val="24"/>
          <w:szCs w:val="24"/>
        </w:rPr>
      </w:pPr>
    </w:p>
    <w:p w:rsidR="0082028D" w:rsidRPr="0082028D" w:rsidRDefault="009F3359" w:rsidP="008202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identified Teacher of Record</w:t>
      </w:r>
      <w:r w:rsidR="0082028D">
        <w:rPr>
          <w:sz w:val="24"/>
          <w:szCs w:val="24"/>
        </w:rPr>
        <w:t xml:space="preserve"> schedules case conference:</w:t>
      </w:r>
    </w:p>
    <w:p w:rsidR="0082028D" w:rsidRDefault="0082028D" w:rsidP="0082028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is parent available?</w:t>
      </w:r>
    </w:p>
    <w:p w:rsidR="0082028D" w:rsidRDefault="0082028D" w:rsidP="0082028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school teachers available through the day.</w:t>
      </w:r>
    </w:p>
    <w:p w:rsidR="0082028D" w:rsidRDefault="0082028D" w:rsidP="0082028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Elementary and high school teachers are available after school (3:00).</w:t>
      </w:r>
    </w:p>
    <w:p w:rsidR="0082028D" w:rsidRDefault="0082028D" w:rsidP="0082028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both TORs and the SEC.</w:t>
      </w:r>
    </w:p>
    <w:p w:rsidR="0082028D" w:rsidRDefault="0082028D" w:rsidP="0082028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the conference room.</w:t>
      </w:r>
    </w:p>
    <w:p w:rsidR="0082028D" w:rsidRDefault="0082028D" w:rsidP="0082028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out case conference notice with a copy of parent rights.</w:t>
      </w:r>
    </w:p>
    <w:p w:rsidR="0082028D" w:rsidRDefault="0082028D" w:rsidP="0082028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hard copies of case conference notice in attendees mailboxes.</w:t>
      </w:r>
    </w:p>
    <w:p w:rsidR="00C8075A" w:rsidRDefault="00C8075A" w:rsidP="00C8075A">
      <w:pPr>
        <w:pStyle w:val="NoSpacing"/>
        <w:ind w:left="1440"/>
        <w:rPr>
          <w:sz w:val="24"/>
          <w:szCs w:val="24"/>
        </w:rPr>
      </w:pPr>
    </w:p>
    <w:p w:rsidR="0082028D" w:rsidRDefault="0082028D" w:rsidP="008202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Case conference follows the IIEP process.  TOR sends </w:t>
      </w:r>
      <w:r w:rsidR="009F3359">
        <w:rPr>
          <w:sz w:val="24"/>
          <w:szCs w:val="24"/>
        </w:rPr>
        <w:t>a</w:t>
      </w:r>
      <w:r>
        <w:rPr>
          <w:sz w:val="24"/>
          <w:szCs w:val="24"/>
        </w:rPr>
        <w:t xml:space="preserve"> copy to the parent to proo</w:t>
      </w:r>
      <w:r w:rsidR="009F3359">
        <w:rPr>
          <w:sz w:val="24"/>
          <w:szCs w:val="24"/>
        </w:rPr>
        <w:t>f.  If okay, the parent signs</w:t>
      </w:r>
      <w:r>
        <w:rPr>
          <w:sz w:val="24"/>
          <w:szCs w:val="24"/>
        </w:rPr>
        <w:t xml:space="preserve"> and returns signature paper to the TOR.</w:t>
      </w:r>
    </w:p>
    <w:p w:rsidR="00C8075A" w:rsidRDefault="00C8075A" w:rsidP="00C8075A">
      <w:pPr>
        <w:pStyle w:val="NoSpacing"/>
        <w:ind w:left="720"/>
        <w:rPr>
          <w:sz w:val="24"/>
          <w:szCs w:val="24"/>
        </w:rPr>
      </w:pPr>
    </w:p>
    <w:p w:rsidR="00C8075A" w:rsidRDefault="0082028D" w:rsidP="00C8075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075A">
        <w:rPr>
          <w:sz w:val="24"/>
          <w:szCs w:val="24"/>
        </w:rPr>
        <w:t>Signature page is given to the SEC</w:t>
      </w:r>
      <w:r w:rsidR="00C8075A">
        <w:rPr>
          <w:sz w:val="24"/>
          <w:szCs w:val="24"/>
        </w:rPr>
        <w:t xml:space="preserve"> to fax to the IDOE.</w:t>
      </w:r>
    </w:p>
    <w:p w:rsidR="00C8075A" w:rsidRPr="00C8075A" w:rsidRDefault="00C8075A" w:rsidP="00C8075A">
      <w:pPr>
        <w:pStyle w:val="NoSpacing"/>
        <w:rPr>
          <w:sz w:val="24"/>
          <w:szCs w:val="24"/>
        </w:rPr>
      </w:pPr>
    </w:p>
    <w:p w:rsidR="0082028D" w:rsidRPr="00C8075A" w:rsidRDefault="0082028D" w:rsidP="008202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075A">
        <w:rPr>
          <w:sz w:val="24"/>
          <w:szCs w:val="24"/>
        </w:rPr>
        <w:t>The TOR completes the referral information in Power School.</w:t>
      </w:r>
    </w:p>
    <w:sectPr w:rsidR="0082028D" w:rsidRPr="00C8075A" w:rsidSect="00F86080">
      <w:pgSz w:w="12240" w:h="15840"/>
      <w:pgMar w:top="990" w:right="144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B15"/>
    <w:multiLevelType w:val="hybridMultilevel"/>
    <w:tmpl w:val="0B78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CFC"/>
    <w:rsid w:val="000A1CFC"/>
    <w:rsid w:val="00146256"/>
    <w:rsid w:val="0018608C"/>
    <w:rsid w:val="00217916"/>
    <w:rsid w:val="00290AD4"/>
    <w:rsid w:val="0031466C"/>
    <w:rsid w:val="003673A5"/>
    <w:rsid w:val="00533C3E"/>
    <w:rsid w:val="006B791B"/>
    <w:rsid w:val="006D786A"/>
    <w:rsid w:val="0082028D"/>
    <w:rsid w:val="008A2733"/>
    <w:rsid w:val="009C3F3A"/>
    <w:rsid w:val="009F3359"/>
    <w:rsid w:val="00A96AA9"/>
    <w:rsid w:val="00BC6DBD"/>
    <w:rsid w:val="00BD6786"/>
    <w:rsid w:val="00C8075A"/>
    <w:rsid w:val="00E17EFA"/>
    <w:rsid w:val="00E64183"/>
    <w:rsid w:val="00F8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6A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6AA9"/>
    <w:pPr>
      <w:spacing w:after="0" w:line="240" w:lineRule="auto"/>
    </w:pPr>
    <w:rPr>
      <w:rFonts w:ascii="Papyrus" w:eastAsiaTheme="majorEastAsia" w:hAnsi="Papyrus" w:cstheme="majorBidi"/>
      <w:sz w:val="20"/>
      <w:szCs w:val="20"/>
    </w:rPr>
  </w:style>
  <w:style w:type="paragraph" w:styleId="NoSpacing">
    <w:name w:val="No Spacing"/>
    <w:uiPriority w:val="1"/>
    <w:qFormat/>
    <w:rsid w:val="000A1C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Albrecht</dc:creator>
  <cp:lastModifiedBy>dwilliams</cp:lastModifiedBy>
  <cp:revision>2</cp:revision>
  <cp:lastPrinted>2012-07-19T14:17:00Z</cp:lastPrinted>
  <dcterms:created xsi:type="dcterms:W3CDTF">2014-01-27T21:19:00Z</dcterms:created>
  <dcterms:modified xsi:type="dcterms:W3CDTF">2014-01-27T21:19:00Z</dcterms:modified>
</cp:coreProperties>
</file>